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7F6A1E3D" w:rsidR="004F5FD7" w:rsidRPr="008131C0"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с централизованным учетом прав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5D32D7">
        <w:rPr>
          <w:rFonts w:ascii="Times New Roman" w:eastAsiaTheme="minorEastAsia" w:hAnsi="Times New Roman"/>
          <w:b/>
          <w:i/>
          <w:sz w:val="24"/>
          <w:szCs w:val="24"/>
          <w:lang w:eastAsia="ru-RU"/>
        </w:rPr>
        <w:t>155</w:t>
      </w:r>
      <w:r w:rsidR="008131C0" w:rsidRPr="008131C0">
        <w:rPr>
          <w:rFonts w:ascii="Times New Roman" w:eastAsiaTheme="minorEastAsia" w:hAnsi="Times New Roman"/>
          <w:b/>
          <w:i/>
          <w:sz w:val="24"/>
          <w:szCs w:val="24"/>
          <w:lang w:eastAsia="ru-RU"/>
        </w:rPr>
        <w:t>2</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 xml:space="preserve">на открытых рынках Казначейства, </w:t>
            </w:r>
          </w:p>
          <w:p w14:paraId="4D9C5055"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p>
          <w:p w14:paraId="2403B94E" w14:textId="00C29CD5" w:rsidR="00647AC1" w:rsidRPr="00647AC1" w:rsidRDefault="0012786B" w:rsidP="0012786B">
            <w:pPr>
              <w:autoSpaceDE w:val="0"/>
              <w:autoSpaceDN w:val="0"/>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доверенности №350000/705-ДН от 13.05.2024</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77777777"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Референсными активами</w:t>
      </w:r>
      <w:r w:rsidR="00774F49" w:rsidRPr="00ED1883">
        <w:rPr>
          <w:sz w:val="22"/>
        </w:rPr>
        <w:t>.</w:t>
      </w:r>
      <w:r w:rsidR="009800AA" w:rsidRPr="009800AA">
        <w:rPr>
          <w:sz w:val="22"/>
        </w:rPr>
        <w:t xml:space="preserve"> </w:t>
      </w:r>
      <w:r w:rsidR="009800AA" w:rsidRPr="00ED1883">
        <w:rPr>
          <w:sz w:val="22"/>
        </w:rPr>
        <w:t>В качестве Альтернативных активов могут быть использованы типы активов, которые могут использоваться в качестве Референсных активов.</w:t>
      </w:r>
      <w:r w:rsidR="00EB6E7B" w:rsidRPr="005B1862">
        <w:rPr>
          <w:sz w:val="22"/>
          <w:szCs w:val="22"/>
        </w:rPr>
        <w:t xml:space="preserve"> </w:t>
      </w:r>
      <w:r w:rsidR="00A13A31">
        <w:rPr>
          <w:sz w:val="22"/>
          <w:szCs w:val="22"/>
        </w:rPr>
        <w:t>Эмитент вправе определить в Решении о ключевых условиях один или несколько Альтернативных активов по отношению к каждому Референсному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соответствовать Альтернативные активы, например,</w:t>
      </w:r>
      <w:r w:rsidR="002C608E">
        <w:rPr>
          <w:sz w:val="22"/>
          <w:szCs w:val="22"/>
        </w:rPr>
        <w:t xml:space="preserve"> </w:t>
      </w:r>
      <w:r w:rsidR="00EC1BC7">
        <w:rPr>
          <w:sz w:val="22"/>
          <w:szCs w:val="22"/>
        </w:rPr>
        <w:t>путем</w:t>
      </w:r>
      <w:r w:rsidR="00AD0643">
        <w:rPr>
          <w:sz w:val="22"/>
          <w:szCs w:val="22"/>
        </w:rPr>
        <w:t xml:space="preserve"> указания на то, что в перечень Альтернативных активов входят активы того же типа, что и Референсный актив, входящие в определенный(-ые) Решением о ключевых условиях </w:t>
      </w:r>
      <w:r w:rsidR="00CC438B">
        <w:rPr>
          <w:sz w:val="22"/>
          <w:szCs w:val="22"/>
        </w:rPr>
        <w:t>фондов</w:t>
      </w:r>
      <w:r w:rsidR="00AD0643">
        <w:rPr>
          <w:sz w:val="22"/>
          <w:szCs w:val="22"/>
        </w:rPr>
        <w:t>ый(-ые),</w:t>
      </w:r>
      <w:r w:rsidR="00CC438B">
        <w:rPr>
          <w:sz w:val="22"/>
          <w:szCs w:val="22"/>
        </w:rPr>
        <w:t xml:space="preserve"> </w:t>
      </w:r>
      <w:r w:rsidR="00AD0643">
        <w:rPr>
          <w:sz w:val="22"/>
          <w:szCs w:val="22"/>
        </w:rPr>
        <w:t xml:space="preserve">биржевой(-ые) или иной(-ые) официально публикуемый(-ые) </w:t>
      </w:r>
      <w:r w:rsidR="00CC438B">
        <w:rPr>
          <w:sz w:val="22"/>
          <w:szCs w:val="22"/>
        </w:rPr>
        <w:t>индекс</w:t>
      </w:r>
      <w:r w:rsidR="00AD0643">
        <w:rPr>
          <w:sz w:val="22"/>
          <w:szCs w:val="22"/>
        </w:rPr>
        <w:t>(-ы)</w:t>
      </w:r>
      <w:r w:rsidR="00C46D26">
        <w:rPr>
          <w:sz w:val="22"/>
          <w:szCs w:val="22"/>
        </w:rPr>
        <w:t xml:space="preserve"> </w:t>
      </w:r>
      <w:r w:rsidR="00AD0643">
        <w:rPr>
          <w:sz w:val="22"/>
          <w:szCs w:val="22"/>
        </w:rPr>
        <w:t>по состоянию на дату, определенную в Решении о ключевых условиях</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тся по отношению к каждому Референсному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недостижения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значение Фиксинга</w:t>
      </w:r>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5E16F333" w:rsidR="00C92F2E" w:rsidRPr="00FA6BBF"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т всегда, когда в соответствии с Решением о выпуске необходимо установить его достижение или недостижение</w:t>
      </w:r>
      <w:r w:rsidRPr="00FA6BBF">
        <w:rPr>
          <w:rFonts w:ascii="Times New Roman" w:eastAsiaTheme="minorEastAsia" w:hAnsi="Times New Roman"/>
          <w:lang w:eastAsia="ru-RU"/>
        </w:rPr>
        <w:t>.</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Фиксинга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значение Фиксинга</w:t>
      </w:r>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недостижения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lastRenderedPageBreak/>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(-ые) в Решении о ключевых условиях, в таком случае будет считаться, что в такие Даты оценки Барьер отмены достигнут независимо от значения Фиксинга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значение Фиксинга</w:t>
      </w:r>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Референсного актива, составляющего Корзину. Если в Решении о ключевых условиях Веса не определены, Корзина признается сформированной из Референсных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обязанность сторон или стороны на условиях, определенных при заключении договора, в случае 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порядок определения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порядок определения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E99C3DD" w14:textId="33E0D472" w:rsidR="004F33AC" w:rsidRPr="00FA6BBF" w:rsidRDefault="004F33AC"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нные Эмитентом в Решении о ключевых условиях в качестве Дилеров-ориентиров в отношении Референсного актива</w:t>
      </w:r>
      <w:r w:rsidR="00EC5276" w:rsidRPr="00FA6BBF">
        <w:rPr>
          <w:rFonts w:ascii="Times New Roman" w:eastAsia="Times New Roman" w:hAnsi="Times New Roman"/>
          <w:lang w:eastAsia="ru-RU"/>
        </w:rPr>
        <w:t>, а также любые юридические лица, в том числе иностранные, являющиеся их аффилированными или связанными лицами, в том числе для иностранных юридических лиц – согласно критериям аффилированности и (или) связанности, установленным в соответствии с иностранным правом, являющимся личным законом таких юридических лиц</w:t>
      </w:r>
      <w:r w:rsidRPr="00FA6BBF">
        <w:rPr>
          <w:rFonts w:ascii="Times New Roman" w:eastAsia="Times New Roman" w:hAnsi="Times New Roman"/>
          <w:lang w:eastAsia="ru-RU"/>
        </w:rPr>
        <w:t xml:space="preserve">. </w:t>
      </w:r>
      <w:r w:rsidR="005369C2">
        <w:rPr>
          <w:rFonts w:ascii="Times New Roman" w:eastAsia="Times New Roman" w:hAnsi="Times New Roman"/>
          <w:lang w:eastAsia="ru-RU"/>
        </w:rPr>
        <w:t xml:space="preserve">В Решении о ключевых условиях </w:t>
      </w:r>
      <w:r w:rsidRPr="00FA6BBF">
        <w:rPr>
          <w:rFonts w:ascii="Times New Roman" w:eastAsia="Times New Roman" w:hAnsi="Times New Roman"/>
          <w:lang w:eastAsia="ru-RU"/>
        </w:rPr>
        <w:t>Эмитент определяет не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Дилеров-ориентиров. Во избежание сомнений, определение Эмитентом Дилеров-ориентиров в Решении о ключевых условиях не налагает на соответствующих Дилеров-ориентиров обязательства по выполнению действий, предусмотренных Решением о выпуске.</w:t>
      </w:r>
    </w:p>
    <w:p w14:paraId="3BFB9E1F" w14:textId="4647C6A7"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Если количество Дилеров-ориентиров, которые могут выполнять действия, предусмотренные Решением о выпуске, станет менее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по любым причинам, включая непредоставление Дилером-ориентиром информации, запрашиваемой Расчетным агентом,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в качестве Дилера-ориентира лицо, обладающее лицензией (иным правомочием, проистекающим из личного закона Дилера-ориентира) на осуществление банковской деятельности и (или) на осуществление брокерской деятельности,</w:t>
      </w:r>
      <w:r w:rsidR="00C53495">
        <w:rPr>
          <w:rFonts w:ascii="Times New Roman" w:eastAsia="Times New Roman" w:hAnsi="Times New Roman"/>
          <w:lang w:eastAsia="ru-RU"/>
        </w:rPr>
        <w:t xml:space="preserve"> не являюще</w:t>
      </w:r>
      <w:r w:rsidR="00C53495" w:rsidRPr="00FA6BBF">
        <w:rPr>
          <w:rFonts w:ascii="Times New Roman" w:eastAsia="Times New Roman" w:hAnsi="Times New Roman"/>
          <w:lang w:eastAsia="ru-RU"/>
        </w:rPr>
        <w:t>еся аффилированным лиц</w:t>
      </w:r>
      <w:r w:rsidR="00C53495">
        <w:rPr>
          <w:rFonts w:ascii="Times New Roman" w:eastAsia="Times New Roman" w:hAnsi="Times New Roman"/>
          <w:lang w:eastAsia="ru-RU"/>
        </w:rPr>
        <w:t>о</w:t>
      </w:r>
      <w:r w:rsidR="00C53495" w:rsidRPr="00FA6BBF">
        <w:rPr>
          <w:rFonts w:ascii="Times New Roman" w:eastAsia="Times New Roman" w:hAnsi="Times New Roman"/>
          <w:lang w:eastAsia="ru-RU"/>
        </w:rPr>
        <w:t>м Эмитента и (или) Расчетного агента</w:t>
      </w:r>
      <w:r w:rsidR="00C53495">
        <w:rPr>
          <w:rFonts w:ascii="Times New Roman" w:eastAsia="Times New Roman" w:hAnsi="Times New Roman"/>
          <w:lang w:eastAsia="ru-RU"/>
        </w:rPr>
        <w:t>,</w:t>
      </w:r>
      <w:r w:rsidRPr="00FA6BBF">
        <w:rPr>
          <w:rFonts w:ascii="Times New Roman" w:eastAsia="Times New Roman" w:hAnsi="Times New Roman"/>
          <w:lang w:eastAsia="ru-RU"/>
        </w:rPr>
        <w:t xml:space="preserve"> являющееся членом хотя бы одной из следующих организаций и (или) их правопреемников:</w:t>
      </w:r>
    </w:p>
    <w:p w14:paraId="3EEDF061" w14:textId="77777777" w:rsidR="004F33AC" w:rsidRPr="00BA3DE2" w:rsidRDefault="004F33AC" w:rsidP="00614FFF">
      <w:pPr>
        <w:widowControl w:val="0"/>
        <w:numPr>
          <w:ilvl w:val="0"/>
          <w:numId w:val="2"/>
        </w:numPr>
        <w:autoSpaceDE w:val="0"/>
        <w:autoSpaceDN w:val="0"/>
        <w:adjustRightInd w:val="0"/>
        <w:spacing w:after="200" w:line="240" w:lineRule="auto"/>
        <w:ind w:hanging="720"/>
        <w:contextualSpacing/>
        <w:jc w:val="both"/>
        <w:rPr>
          <w:rFonts w:ascii="Times New Roman" w:eastAsia="Times New Roman" w:hAnsi="Times New Roman"/>
          <w:lang w:val="en-US" w:eastAsia="ru-RU"/>
        </w:rPr>
      </w:pPr>
      <w:r w:rsidRPr="00FA6BBF">
        <w:rPr>
          <w:rFonts w:ascii="Times New Roman" w:eastAsia="Times New Roman" w:hAnsi="Times New Roman"/>
          <w:lang w:eastAsia="ru-RU"/>
        </w:rPr>
        <w:t>Международная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ассоциация</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свопов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деривативов</w:t>
      </w:r>
      <w:r w:rsidRPr="00BA3DE2">
        <w:rPr>
          <w:rFonts w:ascii="Times New Roman" w:eastAsia="Times New Roman" w:hAnsi="Times New Roman"/>
          <w:lang w:val="en-US" w:eastAsia="ru-RU"/>
        </w:rPr>
        <w:t xml:space="preserve">, </w:t>
      </w:r>
      <w:r w:rsidRPr="00FA6BBF">
        <w:rPr>
          <w:rFonts w:ascii="Times New Roman" w:eastAsia="Times New Roman" w:hAnsi="Times New Roman"/>
          <w:lang w:eastAsia="ru-RU"/>
        </w:rPr>
        <w:t>Инк</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International</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Swaps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and</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Derivatives</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Association</w:t>
      </w:r>
      <w:r w:rsidRPr="00BA3DE2">
        <w:rPr>
          <w:rFonts w:ascii="Times New Roman" w:eastAsia="Times New Roman" w:hAnsi="Times New Roman"/>
          <w:lang w:val="en-US" w:eastAsia="ru-RU"/>
        </w:rPr>
        <w:t xml:space="preserve">, </w:t>
      </w:r>
      <w:r w:rsidRPr="00FA6BBF">
        <w:rPr>
          <w:rFonts w:ascii="Times New Roman" w:eastAsia="Times New Roman" w:hAnsi="Times New Roman"/>
          <w:lang w:val="en-US" w:eastAsia="ru-RU"/>
        </w:rPr>
        <w:t>Inc</w:t>
      </w:r>
      <w:r w:rsidRPr="00BA3DE2">
        <w:rPr>
          <w:rFonts w:ascii="Times New Roman" w:eastAsia="Times New Roman" w:hAnsi="Times New Roman"/>
          <w:lang w:val="en-US" w:eastAsia="ru-RU"/>
        </w:rPr>
        <w:t>);</w:t>
      </w:r>
    </w:p>
    <w:p w14:paraId="492B849E" w14:textId="34CD4B6B" w:rsidR="004F33AC" w:rsidRPr="00FA6BBF" w:rsidRDefault="004F33AC" w:rsidP="00614FFF">
      <w:pPr>
        <w:widowControl w:val="0"/>
        <w:numPr>
          <w:ilvl w:val="0"/>
          <w:numId w:val="2"/>
        </w:numPr>
        <w:autoSpaceDE w:val="0"/>
        <w:autoSpaceDN w:val="0"/>
        <w:adjustRightInd w:val="0"/>
        <w:spacing w:after="200" w:line="240" w:lineRule="auto"/>
        <w:ind w:left="709" w:hanging="720"/>
        <w:contextualSpacing/>
        <w:jc w:val="both"/>
        <w:rPr>
          <w:rFonts w:ascii="Times New Roman" w:eastAsia="Times New Roman" w:hAnsi="Times New Roman"/>
          <w:lang w:eastAsia="ru-RU"/>
        </w:rPr>
      </w:pPr>
      <w:r w:rsidRPr="00FA6BBF">
        <w:rPr>
          <w:rFonts w:ascii="Times New Roman" w:eastAsia="Times New Roman" w:hAnsi="Times New Roman"/>
          <w:lang w:eastAsia="ru-RU"/>
        </w:rPr>
        <w:t xml:space="preserve">Национальная </w:t>
      </w:r>
      <w:r w:rsidR="001067A1">
        <w:rPr>
          <w:rFonts w:ascii="Times New Roman" w:eastAsia="Times New Roman" w:hAnsi="Times New Roman"/>
          <w:lang w:eastAsia="ru-RU"/>
        </w:rPr>
        <w:t>финансовая ассоциация (</w:t>
      </w:r>
      <w:r w:rsidRPr="00FA6BBF">
        <w:rPr>
          <w:rFonts w:ascii="Times New Roman" w:eastAsia="Times New Roman" w:hAnsi="Times New Roman"/>
          <w:lang w:eastAsia="ru-RU"/>
        </w:rPr>
        <w:t>НФА);</w:t>
      </w:r>
    </w:p>
    <w:p w14:paraId="258B70E6" w14:textId="77777777" w:rsidR="004F33AC" w:rsidRPr="00FA6BBF" w:rsidRDefault="004F33AC" w:rsidP="00614FFF">
      <w:pPr>
        <w:widowControl w:val="0"/>
        <w:numPr>
          <w:ilvl w:val="0"/>
          <w:numId w:val="2"/>
        </w:numPr>
        <w:autoSpaceDE w:val="0"/>
        <w:autoSpaceDN w:val="0"/>
        <w:adjustRightInd w:val="0"/>
        <w:spacing w:after="200" w:line="240" w:lineRule="auto"/>
        <w:ind w:left="709" w:hanging="720"/>
        <w:jc w:val="both"/>
        <w:rPr>
          <w:rFonts w:ascii="Times New Roman" w:eastAsia="Times New Roman" w:hAnsi="Times New Roman"/>
          <w:lang w:eastAsia="ru-RU"/>
        </w:rPr>
      </w:pPr>
      <w:r w:rsidRPr="00FA6BBF">
        <w:rPr>
          <w:rFonts w:ascii="Times New Roman" w:eastAsia="Times New Roman" w:hAnsi="Times New Roman"/>
          <w:lang w:eastAsia="ru-RU"/>
        </w:rPr>
        <w:t>Национальная ассоциация участников фондового рынка (НАУФОР).</w:t>
      </w:r>
    </w:p>
    <w:p w14:paraId="1FE9967D" w14:textId="0F78BFC6" w:rsidR="001522C0" w:rsidRDefault="001522C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определяет одного или нескольких Дилеров-ориентиров из числа указанных выше лиц в срок не позднее 5 (пяти) Рабочих дней с даты, в которую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узнал или должен был узнать о том, что какой-либо из Дилеров-ориентиров не может выполнять действия, предусмотренные Решением о выпуске. При этом количество определяемых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тным агентом Дилеров-ориентиров должно быть таким, чтобы в любой момент времени общее количество Дилеров-ориентиров составляло не менее 4 (четыр</w:t>
      </w:r>
      <w:r w:rsidR="00576C4E">
        <w:rPr>
          <w:rFonts w:ascii="Times New Roman" w:eastAsia="Times New Roman" w:hAnsi="Times New Roman"/>
          <w:lang w:eastAsia="ru-RU"/>
        </w:rPr>
        <w:t>е</w:t>
      </w:r>
      <w:r w:rsidRPr="00FA6BBF">
        <w:rPr>
          <w:rFonts w:ascii="Times New Roman" w:eastAsia="Times New Roman" w:hAnsi="Times New Roman"/>
          <w:lang w:eastAsia="ru-RU"/>
        </w:rPr>
        <w:t>х). Расч</w:t>
      </w:r>
      <w:r w:rsidR="00576C4E">
        <w:rPr>
          <w:rFonts w:ascii="Times New Roman" w:eastAsia="Times New Roman" w:hAnsi="Times New Roman"/>
          <w:lang w:eastAsia="ru-RU"/>
        </w:rPr>
        <w:t>е</w:t>
      </w:r>
      <w:r w:rsidRPr="00FA6BBF">
        <w:rPr>
          <w:rFonts w:ascii="Times New Roman" w:eastAsia="Times New Roman" w:hAnsi="Times New Roman"/>
          <w:lang w:eastAsia="ru-RU"/>
        </w:rPr>
        <w:t>тный агент сообщает Эмитенту информацию об определ</w:t>
      </w:r>
      <w:r w:rsidR="00576C4E">
        <w:rPr>
          <w:rFonts w:ascii="Times New Roman" w:eastAsia="Times New Roman" w:hAnsi="Times New Roman"/>
          <w:lang w:eastAsia="ru-RU"/>
        </w:rPr>
        <w:t>е</w:t>
      </w:r>
      <w:r w:rsidRPr="00FA6BBF">
        <w:rPr>
          <w:rFonts w:ascii="Times New Roman" w:eastAsia="Times New Roman" w:hAnsi="Times New Roman"/>
          <w:lang w:eastAsia="ru-RU"/>
        </w:rPr>
        <w:t>нных им Дилерах-ориентирах не позднее 1 (одного) Рабочего дня с даты определения соответствующих Дилеров-ориентиров.</w:t>
      </w:r>
    </w:p>
    <w:p w14:paraId="1D4C5508" w14:textId="34B27944" w:rsidR="00363D4E" w:rsidRPr="00E6262F" w:rsidRDefault="003B78C5" w:rsidP="00E6262F">
      <w:pPr>
        <w:widowControl w:val="0"/>
        <w:autoSpaceDE w:val="0"/>
        <w:autoSpaceDN w:val="0"/>
        <w:adjustRightInd w:val="0"/>
        <w:spacing w:after="200" w:line="240" w:lineRule="auto"/>
        <w:jc w:val="both"/>
        <w:rPr>
          <w:rFonts w:ascii="Times New Roman" w:hAnsi="Times New Roman"/>
        </w:rPr>
      </w:pPr>
      <w:r w:rsidRPr="00FA6BBF">
        <w:rPr>
          <w:rFonts w:ascii="Times New Roman" w:eastAsia="Times New Roman" w:hAnsi="Times New Roman"/>
          <w:lang w:eastAsia="ru-RU"/>
        </w:rPr>
        <w:t xml:space="preserve">Информация о Дилерах-ориентирах, определённых Расчётным агентом из числа указанных выше организаций, должна быть </w:t>
      </w:r>
      <w:r>
        <w:rPr>
          <w:rFonts w:ascii="Times New Roman" w:eastAsia="Times New Roman" w:hAnsi="Times New Roman"/>
          <w:lang w:eastAsia="ru-RU"/>
        </w:rPr>
        <w:t>предоставлена Эмитентом владельцам Облигаций</w:t>
      </w:r>
      <w:r w:rsidRPr="00FA6BBF">
        <w:rPr>
          <w:rFonts w:ascii="Times New Roman" w:eastAsia="Times New Roman" w:hAnsi="Times New Roman"/>
          <w:lang w:eastAsia="ru-RU"/>
        </w:rPr>
        <w:t xml:space="preserve"> не позднее 1 (одного)</w:t>
      </w:r>
      <w:r>
        <w:rPr>
          <w:rFonts w:ascii="Times New Roman" w:eastAsia="Times New Roman" w:hAnsi="Times New Roman"/>
          <w:lang w:eastAsia="ru-RU"/>
        </w:rPr>
        <w:t xml:space="preserve"> </w:t>
      </w:r>
      <w:r w:rsidRPr="00FA6BBF">
        <w:rPr>
          <w:rFonts w:ascii="Times New Roman" w:eastAsia="Times New Roman" w:hAnsi="Times New Roman"/>
          <w:lang w:eastAsia="ru-RU"/>
        </w:rPr>
        <w:t>дня с даты получения Эмитентом соответствующей информации от Расчётного агента</w:t>
      </w:r>
      <w:r>
        <w:rPr>
          <w:rFonts w:ascii="Times New Roman" w:eastAsia="Times New Roman" w:hAnsi="Times New Roman"/>
          <w:lang w:eastAsia="ru-RU"/>
        </w:rPr>
        <w:t xml:space="preserve"> в порядке, предусмотренном пунктом 12.5 Решения о выпуске</w:t>
      </w:r>
      <w:r w:rsidRPr="00FA6BBF">
        <w:rPr>
          <w:rFonts w:ascii="Times New Roman" w:eastAsiaTheme="minorEastAsia" w:hAnsi="Times New Roman"/>
          <w:lang w:eastAsia="ru-RU"/>
        </w:rPr>
        <w:t>.</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4C9F6225"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r w:rsidR="00EF33B6" w:rsidRPr="00FA6BBF">
        <w:rPr>
          <w:sz w:val="22"/>
          <w:u w:val="single"/>
        </w:rPr>
        <w:t>Референсного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Референсное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r w:rsidR="003367EB" w:rsidRPr="007E24F8">
        <w:rPr>
          <w:rFonts w:eastAsia="Times New Roman"/>
          <w:color w:val="auto"/>
          <w:sz w:val="22"/>
          <w:szCs w:val="22"/>
          <w:lang w:eastAsia="ru-RU"/>
        </w:rPr>
        <w:t>Референсного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w:t>
      </w:r>
      <w:r w:rsidR="003367EB">
        <w:rPr>
          <w:rFonts w:eastAsia="Times New Roman"/>
          <w:color w:val="auto"/>
          <w:sz w:val="22"/>
          <w:szCs w:val="22"/>
          <w:lang w:eastAsia="ru-RU"/>
        </w:rPr>
        <w:lastRenderedPageBreak/>
        <w:t xml:space="preserve">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t xml:space="preserve">В случае если в Решении о ключевых условиях определено несколько Референсных активов (Корзина), </w:t>
      </w:r>
      <w:r>
        <w:rPr>
          <w:rFonts w:ascii="Times New Roman" w:hAnsi="Times New Roman"/>
          <w:bCs/>
          <w:iCs/>
        </w:rPr>
        <w:t>Изменение источника Референсного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Референсного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Изменения источника Референсного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Референсного актива (Референсного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Референсных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в Решении о ключевых условиях должны быть предусмотрены квалификационные признаки всех Референсных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lastRenderedPageBreak/>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Референсных активов, включенных в Корзину, Референсный актив, </w:t>
      </w:r>
      <w:r w:rsidR="007253F8">
        <w:rPr>
          <w:rFonts w:ascii="Times New Roman" w:eastAsia="Times New Roman" w:hAnsi="Times New Roman"/>
          <w:bCs/>
          <w:iCs/>
          <w:lang w:eastAsia="ru-RU"/>
        </w:rPr>
        <w:t>Референсное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r w:rsidR="007253F8">
        <w:rPr>
          <w:rFonts w:ascii="Times New Roman" w:eastAsia="Times New Roman" w:hAnsi="Times New Roman"/>
          <w:bCs/>
          <w:iCs/>
          <w:lang w:eastAsia="ru-RU"/>
        </w:rPr>
        <w:t>Референсными значениями</w:t>
      </w:r>
      <w:r w:rsidRPr="00B21A52">
        <w:rPr>
          <w:rFonts w:ascii="Times New Roman" w:eastAsia="Times New Roman" w:hAnsi="Times New Roman"/>
          <w:bCs/>
          <w:iCs/>
          <w:lang w:eastAsia="ru-RU"/>
        </w:rPr>
        <w:t xml:space="preserve"> других Референсных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Наихудший актив</w:t>
      </w:r>
      <w:r w:rsidRPr="00FA6BBF">
        <w:rPr>
          <w:rFonts w:ascii="Times New Roman" w:eastAsia="Times New Roman" w:hAnsi="Times New Roman"/>
          <w:bCs/>
          <w:iCs/>
          <w:lang w:eastAsia="ru-RU"/>
        </w:rPr>
        <w:t xml:space="preserve"> – в отношении Референсных активов, включенных в Корзину, Референсный</w:t>
      </w:r>
      <w:r w:rsidRPr="00FA6BBF">
        <w:rPr>
          <w:rFonts w:ascii="Times New Roman" w:eastAsia="Times New Roman" w:hAnsi="Times New Roman"/>
          <w:lang w:eastAsia="ru-RU"/>
        </w:rPr>
        <w:t xml:space="preserve"> актив, </w:t>
      </w:r>
      <w:r w:rsidR="007253F8">
        <w:rPr>
          <w:rFonts w:ascii="Times New Roman" w:eastAsia="Times New Roman" w:hAnsi="Times New Roman"/>
          <w:bCs/>
          <w:iCs/>
          <w:lang w:eastAsia="ru-RU"/>
        </w:rPr>
        <w:t>Референсное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r w:rsidR="007253F8">
        <w:rPr>
          <w:rFonts w:ascii="Times New Roman" w:eastAsia="Times New Roman" w:hAnsi="Times New Roman"/>
          <w:bCs/>
          <w:iCs/>
          <w:lang w:eastAsia="ru-RU"/>
        </w:rPr>
        <w:t>Референсными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других Референсных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являющегося Референсным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ндекс, составляющий Референсный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7C859765"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Неликвидность</w:t>
      </w:r>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сделку на рыночных условиях как для одной, так и для нескольких сделок с Референсным активом и/или в отношении Референсного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ри этом для целей настоящего определения сделка считается заключенной на рыночных условиях, если ее цена несущественно отличается от цены аналогичных сделок с таким же Референсным активом и/или в отношении такого же Референсного актива.</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5F2291E8" w14:textId="77777777" w:rsidR="00E14625" w:rsidRDefault="004F33AC" w:rsidP="00232CAD">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Объем актива</w:t>
      </w:r>
      <w:r w:rsidR="003804CB" w:rsidRPr="003804CB">
        <w:rPr>
          <w:rFonts w:ascii="Times New Roman" w:eastAsia="Times New Roman" w:hAnsi="Times New Roman"/>
          <w:bCs/>
          <w:iCs/>
          <w:lang w:eastAsia="ru-RU"/>
        </w:rPr>
        <w:t xml:space="preserve"> </w:t>
      </w:r>
      <w:r w:rsidR="00F451F9">
        <w:rPr>
          <w:rFonts w:ascii="Times New Roman" w:eastAsia="Times New Roman" w:hAnsi="Times New Roman"/>
          <w:bCs/>
          <w:iCs/>
          <w:lang w:eastAsia="ru-RU"/>
        </w:rPr>
        <w:t>–</w:t>
      </w:r>
      <w:r w:rsidR="003804CB" w:rsidRPr="003804CB">
        <w:rPr>
          <w:rFonts w:ascii="Times New Roman" w:eastAsia="Times New Roman" w:hAnsi="Times New Roman"/>
          <w:bCs/>
          <w:iCs/>
          <w:lang w:eastAsia="ru-RU"/>
        </w:rPr>
        <w:t xml:space="preserve"> </w:t>
      </w:r>
      <w:r w:rsidR="006D50B0">
        <w:rPr>
          <w:rFonts w:ascii="Times New Roman" w:eastAsia="Times New Roman" w:hAnsi="Times New Roman"/>
          <w:bCs/>
          <w:iCs/>
          <w:lang w:eastAsia="ru-RU"/>
        </w:rPr>
        <w:t>сумма,</w:t>
      </w:r>
      <w:r w:rsidR="00475427">
        <w:rPr>
          <w:rFonts w:ascii="Times New Roman" w:eastAsia="Times New Roman" w:hAnsi="Times New Roman"/>
          <w:lang w:eastAsia="ru-RU"/>
        </w:rPr>
        <w:t xml:space="preserve"> </w:t>
      </w:r>
      <w:r w:rsidR="006D50B0">
        <w:rPr>
          <w:rFonts w:ascii="Times New Roman" w:eastAsia="Times New Roman" w:hAnsi="Times New Roman"/>
          <w:lang w:eastAsia="ru-RU"/>
        </w:rPr>
        <w:t>равная отношению</w:t>
      </w:r>
      <w:r w:rsidR="00475427">
        <w:rPr>
          <w:rFonts w:ascii="Times New Roman" w:eastAsia="Times New Roman" w:hAnsi="Times New Roman"/>
          <w:lang w:eastAsia="ru-RU"/>
        </w:rPr>
        <w:t xml:space="preserve"> </w:t>
      </w:r>
      <w:r w:rsidR="00F00BF2">
        <w:rPr>
          <w:rFonts w:ascii="Times New Roman" w:eastAsia="Times New Roman" w:hAnsi="Times New Roman"/>
          <w:lang w:eastAsia="ru-RU"/>
        </w:rPr>
        <w:t>совокупной номинальной стоимости размещенных Облигаций к количеству Референсных активов в Корзине (</w:t>
      </w:r>
      <w:r w:rsidR="006D50B0">
        <w:rPr>
          <w:rFonts w:ascii="Times New Roman" w:eastAsia="Times New Roman" w:hAnsi="Times New Roman"/>
          <w:lang w:eastAsia="ru-RU"/>
        </w:rPr>
        <w:t>в валюте номинальной стоимости Облигаций</w:t>
      </w:r>
      <w:r w:rsidR="00F00BF2">
        <w:rPr>
          <w:rFonts w:ascii="Times New Roman" w:eastAsia="Times New Roman" w:hAnsi="Times New Roman"/>
          <w:lang w:eastAsia="ru-RU"/>
        </w:rPr>
        <w:t>)</w:t>
      </w:r>
      <w:r w:rsidR="003804CB">
        <w:rPr>
          <w:rFonts w:ascii="Times New Roman" w:eastAsia="Times New Roman" w:hAnsi="Times New Roman"/>
          <w:lang w:eastAsia="ru-RU"/>
        </w:rPr>
        <w:t xml:space="preserve">, если иная величина или порядок определения </w:t>
      </w:r>
      <w:r w:rsidR="00A3626B">
        <w:rPr>
          <w:rFonts w:ascii="Times New Roman" w:eastAsia="Times New Roman" w:hAnsi="Times New Roman"/>
          <w:lang w:eastAsia="ru-RU"/>
        </w:rPr>
        <w:t>такой величины</w:t>
      </w:r>
      <w:r w:rsidR="003804CB">
        <w:rPr>
          <w:rFonts w:ascii="Times New Roman" w:eastAsia="Times New Roman" w:hAnsi="Times New Roman"/>
          <w:lang w:eastAsia="ru-RU"/>
        </w:rPr>
        <w:t xml:space="preserve"> </w:t>
      </w:r>
      <w:r w:rsidR="00FF5CCF">
        <w:rPr>
          <w:rFonts w:ascii="Times New Roman" w:eastAsia="Times New Roman" w:hAnsi="Times New Roman"/>
          <w:lang w:eastAsia="ru-RU"/>
        </w:rPr>
        <w:t xml:space="preserve">не </w:t>
      </w:r>
      <w:r w:rsidR="003804CB">
        <w:rPr>
          <w:rFonts w:ascii="Times New Roman" w:eastAsia="Times New Roman" w:hAnsi="Times New Roman"/>
          <w:lang w:eastAsia="ru-RU"/>
        </w:rPr>
        <w:t>установлен</w:t>
      </w:r>
      <w:r w:rsidR="006D50B0">
        <w:rPr>
          <w:rFonts w:ascii="Times New Roman" w:eastAsia="Times New Roman" w:hAnsi="Times New Roman"/>
          <w:lang w:eastAsia="ru-RU"/>
        </w:rPr>
        <w:t xml:space="preserve"> </w:t>
      </w:r>
      <w:r w:rsidR="00B52AE1" w:rsidRPr="00FA6BBF">
        <w:rPr>
          <w:rFonts w:ascii="Times New Roman" w:eastAsia="Times New Roman" w:hAnsi="Times New Roman"/>
          <w:lang w:eastAsia="ru-RU"/>
        </w:rPr>
        <w:t>Решени</w:t>
      </w:r>
      <w:r w:rsidR="00B52AE1">
        <w:rPr>
          <w:rFonts w:ascii="Times New Roman" w:eastAsia="Times New Roman" w:hAnsi="Times New Roman"/>
          <w:lang w:eastAsia="ru-RU"/>
        </w:rPr>
        <w:t>ем</w:t>
      </w:r>
      <w:r w:rsidR="00B52AE1" w:rsidRPr="00FA6BBF">
        <w:rPr>
          <w:rFonts w:ascii="Times New Roman" w:eastAsia="Times New Roman" w:hAnsi="Times New Roman"/>
          <w:lang w:eastAsia="ru-RU"/>
        </w:rPr>
        <w:t xml:space="preserve"> о ключевых условиях</w:t>
      </w:r>
      <w:r w:rsidR="006D50B0">
        <w:rPr>
          <w:rFonts w:ascii="Times New Roman" w:eastAsia="Times New Roman" w:hAnsi="Times New Roman"/>
          <w:lang w:eastAsia="ru-RU"/>
        </w:rPr>
        <w:t>. При установлении отличного от указанного в настоящем Решении о выпуске определения Объема актива</w:t>
      </w:r>
      <w:r w:rsidR="006D50B0" w:rsidRPr="00FA6BBF">
        <w:rPr>
          <w:rFonts w:ascii="Times New Roman" w:eastAsia="Times New Roman" w:hAnsi="Times New Roman"/>
          <w:lang w:eastAsia="ru-RU"/>
        </w:rPr>
        <w:t xml:space="preserve"> </w:t>
      </w:r>
      <w:r w:rsidR="006D50B0">
        <w:rPr>
          <w:rFonts w:ascii="Times New Roman" w:eastAsia="Times New Roman" w:hAnsi="Times New Roman"/>
          <w:lang w:eastAsia="ru-RU"/>
        </w:rPr>
        <w:t xml:space="preserve">Эмитент должен </w:t>
      </w:r>
      <w:r w:rsidR="006D50B0" w:rsidRPr="00FA6BBF">
        <w:rPr>
          <w:rFonts w:ascii="Times New Roman" w:eastAsia="Times New Roman" w:hAnsi="Times New Roman"/>
          <w:lang w:eastAsia="ru-RU"/>
        </w:rPr>
        <w:t>указа</w:t>
      </w:r>
      <w:r w:rsidR="006D50B0">
        <w:rPr>
          <w:rFonts w:ascii="Times New Roman" w:eastAsia="Times New Roman" w:hAnsi="Times New Roman"/>
          <w:lang w:eastAsia="ru-RU"/>
        </w:rPr>
        <w:t>ть</w:t>
      </w:r>
      <w:r w:rsidR="006D50B0" w:rsidRPr="00FA6BBF">
        <w:rPr>
          <w:rFonts w:ascii="Times New Roman" w:eastAsia="Times New Roman" w:hAnsi="Times New Roman"/>
          <w:lang w:eastAsia="ru-RU"/>
        </w:rPr>
        <w:t xml:space="preserve"> единиц</w:t>
      </w:r>
      <w:r w:rsidR="006D50B0">
        <w:rPr>
          <w:rFonts w:ascii="Times New Roman" w:eastAsia="Times New Roman" w:hAnsi="Times New Roman"/>
          <w:lang w:eastAsia="ru-RU"/>
        </w:rPr>
        <w:t>у</w:t>
      </w:r>
      <w:r w:rsidR="006D50B0" w:rsidRPr="00FA6BBF">
        <w:rPr>
          <w:rFonts w:ascii="Times New Roman" w:eastAsia="Times New Roman" w:hAnsi="Times New Roman"/>
          <w:lang w:eastAsia="ru-RU"/>
        </w:rPr>
        <w:t xml:space="preserve"> измерения (исчисления) </w:t>
      </w:r>
      <w:r w:rsidR="00B52AE1">
        <w:rPr>
          <w:rFonts w:ascii="Times New Roman" w:eastAsia="Times New Roman" w:hAnsi="Times New Roman"/>
          <w:lang w:eastAsia="ru-RU"/>
        </w:rPr>
        <w:t xml:space="preserve">значения </w:t>
      </w:r>
      <w:r w:rsidR="006D50B0">
        <w:rPr>
          <w:rFonts w:ascii="Times New Roman" w:eastAsia="Times New Roman" w:hAnsi="Times New Roman"/>
          <w:lang w:eastAsia="ru-RU"/>
        </w:rPr>
        <w:t xml:space="preserve">Объема актива, а порядок определения Объема актива </w:t>
      </w:r>
      <w:r w:rsidR="00B52AE1">
        <w:rPr>
          <w:rFonts w:ascii="Times New Roman" w:eastAsia="Times New Roman" w:hAnsi="Times New Roman"/>
          <w:lang w:eastAsia="ru-RU"/>
        </w:rPr>
        <w:t xml:space="preserve">не должен зависеть </w:t>
      </w:r>
      <w:r w:rsidR="003C4B83">
        <w:rPr>
          <w:rFonts w:ascii="Times New Roman" w:eastAsia="Times New Roman" w:hAnsi="Times New Roman"/>
          <w:lang w:eastAsia="ru-RU"/>
        </w:rPr>
        <w:t xml:space="preserve">от усмотрения Эмитента, равно как </w:t>
      </w:r>
      <w:r w:rsidR="00B52AE1">
        <w:rPr>
          <w:rFonts w:ascii="Times New Roman" w:eastAsia="Times New Roman" w:hAnsi="Times New Roman"/>
          <w:lang w:eastAsia="ru-RU"/>
        </w:rPr>
        <w:t xml:space="preserve">от обстоятельств и переменных, находящихся под контролем Эмитента или </w:t>
      </w:r>
      <w:r w:rsidR="003C4B83">
        <w:rPr>
          <w:rFonts w:ascii="Times New Roman" w:eastAsia="Times New Roman" w:hAnsi="Times New Roman"/>
          <w:lang w:eastAsia="ru-RU"/>
        </w:rPr>
        <w:t xml:space="preserve">его </w:t>
      </w:r>
      <w:r w:rsidR="00B52AE1">
        <w:rPr>
          <w:rFonts w:ascii="Times New Roman" w:eastAsia="Times New Roman" w:hAnsi="Times New Roman"/>
          <w:lang w:eastAsia="ru-RU"/>
        </w:rPr>
        <w:t xml:space="preserve">существенным влиянием. </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r w:rsidRPr="002777C5">
        <w:rPr>
          <w:rFonts w:ascii="Times New Roman" w:hAnsi="Times New Roman"/>
        </w:rPr>
        <w:t>Референсного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r w:rsidR="00982811" w:rsidRPr="00FA6BBF">
        <w:rPr>
          <w:rFonts w:ascii="Times New Roman" w:eastAsia="Times New Roman" w:hAnsi="Times New Roman"/>
          <w:szCs w:val="24"/>
          <w:lang w:eastAsia="ru-RU"/>
        </w:rPr>
        <w:t>Фиксинга</w:t>
      </w:r>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lastRenderedPageBreak/>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4BB5AA98"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2EA7A210"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лицо, определ</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нное в этом качестве в Решении о ключевых условиях</w:t>
      </w:r>
      <w:r w:rsidR="007C769F" w:rsidRPr="00FA6BBF">
        <w:rPr>
          <w:rFonts w:ascii="Times New Roman" w:eastAsia="Times New Roman" w:hAnsi="Times New Roman"/>
          <w:bCs/>
          <w:iCs/>
          <w:lang w:eastAsia="ru-RU"/>
        </w:rPr>
        <w:t>, либо иное лицо, назначенное Эмитентом в случае, описанном ниже</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r w:rsidR="00E95113" w:rsidRPr="00FA6BBF">
        <w:rPr>
          <w:rFonts w:ascii="Times New Roman" w:eastAsia="Times New Roman" w:hAnsi="Times New Roman"/>
          <w:bCs/>
          <w:iCs/>
          <w:lang w:eastAsia="ru-RU"/>
        </w:rPr>
        <w:t>Референсного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6B9A3F80"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7AF5C423" w14:textId="0A770AB3"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В случае если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прекращает исполнять свои обязательства по договору с Эмитентом, Эмитент обязуется</w:t>
      </w:r>
      <w:r w:rsidRPr="00FA6BBF">
        <w:rPr>
          <w:rFonts w:ascii="Times New Roman" w:hAnsi="Times New Roman"/>
        </w:rPr>
        <w:t xml:space="preserve"> </w:t>
      </w:r>
      <w:r w:rsidRPr="00FA6BBF">
        <w:rPr>
          <w:rFonts w:ascii="Times New Roman" w:eastAsia="Times New Roman" w:hAnsi="Times New Roman"/>
          <w:bCs/>
          <w:iCs/>
          <w:lang w:eastAsia="ru-RU"/>
        </w:rPr>
        <w:t>в срок не позднее 30</w:t>
      </w:r>
      <w:r w:rsidR="004059A6">
        <w:rPr>
          <w:rFonts w:ascii="Times New Roman" w:eastAsia="Times New Roman" w:hAnsi="Times New Roman"/>
          <w:bCs/>
          <w:iCs/>
          <w:lang w:eastAsia="ru-RU"/>
        </w:rPr>
        <w:t xml:space="preserve"> (тридцати)</w:t>
      </w:r>
      <w:r w:rsidRPr="00FA6BBF">
        <w:rPr>
          <w:rFonts w:ascii="Times New Roman" w:eastAsia="Times New Roman" w:hAnsi="Times New Roman"/>
          <w:bCs/>
          <w:iCs/>
          <w:lang w:eastAsia="ru-RU"/>
        </w:rPr>
        <w:t xml:space="preserve"> дней и в любом случае до наступления обстоятельств, с которыми связана необходимость участия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при определении размера выплат по Облигациям, отменить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008A4B97" w14:textId="49F4E9C9"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F29D42D"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дного) дня с даты так</w:t>
      </w:r>
      <w:r>
        <w:rPr>
          <w:rFonts w:ascii="Times New Roman" w:eastAsia="Times New Roman" w:hAnsi="Times New Roman"/>
          <w:bCs/>
          <w:iCs/>
          <w:lang w:eastAsia="ru-RU"/>
        </w:rPr>
        <w:t>их отмены и</w:t>
      </w:r>
      <w:r w:rsidRPr="00FA6BBF">
        <w:rPr>
          <w:rFonts w:ascii="Times New Roman" w:eastAsia="Times New Roman" w:hAnsi="Times New Roman"/>
          <w:bCs/>
          <w:iCs/>
          <w:lang w:eastAsia="ru-RU"/>
        </w:rPr>
        <w:t xml:space="preserve"> назначения</w:t>
      </w:r>
      <w:r>
        <w:rPr>
          <w:rFonts w:ascii="Times New Roman" w:eastAsia="Times New Roman" w:hAnsi="Times New Roman"/>
          <w:bCs/>
          <w:iCs/>
          <w:lang w:eastAsia="ru-RU"/>
        </w:rPr>
        <w:t>, соответственно в порядке, предусмотренном пунктом 12.5 Решения о выпуске</w:t>
      </w:r>
      <w:r w:rsidRPr="00FA6BBF">
        <w:rPr>
          <w:rFonts w:ascii="Times New Roman" w:eastAsia="Times New Roman" w:hAnsi="Times New Roman"/>
          <w:bCs/>
          <w:iCs/>
          <w:lang w:eastAsia="ru-RU"/>
        </w:rPr>
        <w:t>.</w:t>
      </w:r>
      <w:r w:rsidRPr="00576C4E" w:rsidDel="00363D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r w:rsidRPr="00FA6BBF">
        <w:rPr>
          <w:rFonts w:ascii="Times New Roman" w:eastAsia="Times New Roman" w:hAnsi="Times New Roman"/>
          <w:bCs/>
          <w:iCs/>
          <w:u w:val="single"/>
          <w:lang w:eastAsia="ru-RU"/>
        </w:rPr>
        <w:t>Референсное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r w:rsidR="002777C5">
        <w:rPr>
          <w:rFonts w:ascii="Times New Roman" w:eastAsia="Times New Roman" w:hAnsi="Times New Roman"/>
          <w:bCs/>
          <w:iCs/>
          <w:lang w:eastAsia="ru-RU"/>
        </w:rPr>
        <w:t>Референсного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Референсного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Референсный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Референсн</w:t>
      </w:r>
      <w:r w:rsidR="005677C2" w:rsidRPr="00FA6BBF">
        <w:rPr>
          <w:rFonts w:ascii="Times New Roman" w:eastAsia="Times New Roman" w:hAnsi="Times New Roman"/>
          <w:bCs/>
          <w:iCs/>
          <w:lang w:eastAsia="ru-RU"/>
        </w:rPr>
        <w:t>ого</w:t>
      </w:r>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а также любой Альтернативный актив, на который была произведена замена Референсного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если Решением о ключевых условиях определен(-ы) Альтернативный(-е) актив(-ы) по отношению к соответствующему Референсному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В отношении Референсного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Референсного актива, </w:t>
      </w:r>
      <w:r w:rsidR="001E7054" w:rsidRPr="00FA6BBF">
        <w:rPr>
          <w:rFonts w:ascii="Times New Roman" w:eastAsia="Times New Roman" w:hAnsi="Times New Roman"/>
          <w:lang w:eastAsia="ru-RU"/>
        </w:rPr>
        <w:lastRenderedPageBreak/>
        <w:t>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78095390" w14:textId="724294C9"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Объем актива</w:t>
      </w:r>
      <w:r w:rsidR="006835F7" w:rsidRPr="009574DA">
        <w:rPr>
          <w:rFonts w:ascii="Times New Roman" w:eastAsia="Times New Roman" w:hAnsi="Times New Roman"/>
          <w:lang w:eastAsia="ru-RU"/>
        </w:rPr>
        <w:t xml:space="preserve">, </w:t>
      </w:r>
      <w:r w:rsidR="00961163">
        <w:rPr>
          <w:rFonts w:ascii="Times New Roman" w:eastAsia="Times New Roman" w:hAnsi="Times New Roman"/>
          <w:lang w:eastAsia="ru-RU"/>
        </w:rPr>
        <w:t xml:space="preserve">если в Решении о ключевых условиях определяется значение </w:t>
      </w:r>
      <w:r w:rsidR="006773E1">
        <w:rPr>
          <w:rFonts w:ascii="Times New Roman" w:eastAsia="Times New Roman" w:hAnsi="Times New Roman"/>
          <w:lang w:eastAsia="ru-RU"/>
        </w:rPr>
        <w:t xml:space="preserve">или порядок определения </w:t>
      </w:r>
      <w:r w:rsidR="00AB356E">
        <w:rPr>
          <w:rFonts w:ascii="Times New Roman" w:eastAsia="Times New Roman" w:hAnsi="Times New Roman"/>
          <w:lang w:eastAsia="ru-RU"/>
        </w:rPr>
        <w:t>О</w:t>
      </w:r>
      <w:r w:rsidR="00961163">
        <w:rPr>
          <w:rFonts w:ascii="Times New Roman" w:eastAsia="Times New Roman" w:hAnsi="Times New Roman"/>
          <w:lang w:eastAsia="ru-RU"/>
        </w:rPr>
        <w:t>бъема актива, отличающе</w:t>
      </w:r>
      <w:r w:rsidR="006773E1">
        <w:rPr>
          <w:rFonts w:ascii="Times New Roman" w:eastAsia="Times New Roman" w:hAnsi="Times New Roman"/>
          <w:lang w:eastAsia="ru-RU"/>
        </w:rPr>
        <w:t xml:space="preserve">еся </w:t>
      </w:r>
      <w:r w:rsidR="00961163">
        <w:rPr>
          <w:rFonts w:ascii="Times New Roman" w:eastAsia="Times New Roman" w:hAnsi="Times New Roman"/>
          <w:lang w:eastAsia="ru-RU"/>
        </w:rPr>
        <w:t xml:space="preserve">от </w:t>
      </w:r>
      <w:r w:rsidR="00AB356E">
        <w:rPr>
          <w:rFonts w:ascii="Times New Roman" w:eastAsia="Times New Roman" w:hAnsi="Times New Roman"/>
          <w:lang w:eastAsia="ru-RU"/>
        </w:rPr>
        <w:t>предусмотренно</w:t>
      </w:r>
      <w:r w:rsidR="006773E1">
        <w:rPr>
          <w:rFonts w:ascii="Times New Roman" w:eastAsia="Times New Roman" w:hAnsi="Times New Roman"/>
          <w:lang w:eastAsia="ru-RU"/>
        </w:rPr>
        <w:t>го</w:t>
      </w:r>
      <w:r w:rsidR="00AB356E">
        <w:rPr>
          <w:rFonts w:ascii="Times New Roman" w:eastAsia="Times New Roman" w:hAnsi="Times New Roman"/>
          <w:lang w:eastAsia="ru-RU"/>
        </w:rPr>
        <w:t xml:space="preserve"> настоящим Решением о выпуске</w:t>
      </w:r>
      <w:r w:rsidRPr="009574DA">
        <w:rPr>
          <w:rFonts w:ascii="Times New Roman" w:eastAsia="Times New Roman" w:hAnsi="Times New Roman"/>
          <w:lang w:eastAsia="ru-RU"/>
        </w:rPr>
        <w:t>;</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r>
        <w:rPr>
          <w:rFonts w:ascii="Times New Roman" w:eastAsia="Times New Roman" w:hAnsi="Times New Roman"/>
          <w:szCs w:val="24"/>
          <w:lang w:eastAsia="ru-RU"/>
        </w:rPr>
        <w:t>Референсного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могут включаться дополнительные сведения о Референсном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19787C48"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та, а также применимост</w:t>
      </w:r>
      <w:r w:rsidR="00662014">
        <w:rPr>
          <w:rFonts w:eastAsia="Times New Roman"/>
          <w:sz w:val="22"/>
          <w:szCs w:val="22"/>
          <w:lang w:eastAsia="ru-RU"/>
        </w:rPr>
        <w:t>ь</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33E88D12"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 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256D6DC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Дилеров-ориентиров, включая следующие сведения о них:</w:t>
      </w:r>
    </w:p>
    <w:p w14:paraId="72192A3B"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полное фирменное наименование;</w:t>
      </w:r>
    </w:p>
    <w:p w14:paraId="4A760973"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2D556FE6"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российских юридических лиц – ОГРН;</w:t>
      </w:r>
    </w:p>
    <w:p w14:paraId="41B28C58"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для иностранных юридических лиц – международный код идентификации юридического лица (LEI) или иной идентификационный номер юридического лица, присвоенный такому лицу в соответствии с личным законом юридического лица, с указанием типа идентифицирующего номера;</w:t>
      </w:r>
    </w:p>
    <w:p w14:paraId="79BED1E0" w14:textId="77777777" w:rsidR="00F72357" w:rsidRPr="00D14E2E" w:rsidRDefault="00F72357" w:rsidP="00F72357">
      <w:pPr>
        <w:pStyle w:val="Default"/>
        <w:numPr>
          <w:ilvl w:val="1"/>
          <w:numId w:val="23"/>
        </w:numPr>
        <w:ind w:left="1134" w:hanging="425"/>
        <w:jc w:val="both"/>
        <w:rPr>
          <w:rFonts w:eastAsia="Times New Roman"/>
          <w:sz w:val="22"/>
          <w:szCs w:val="22"/>
          <w:lang w:eastAsia="ru-RU"/>
        </w:rPr>
      </w:pPr>
      <w:r w:rsidRPr="00D14E2E">
        <w:rPr>
          <w:rFonts w:eastAsia="Times New Roman"/>
          <w:sz w:val="22"/>
          <w:szCs w:val="22"/>
          <w:lang w:eastAsia="ru-RU"/>
        </w:rPr>
        <w:t>ИНН (при наличии);</w:t>
      </w:r>
    </w:p>
    <w:p w14:paraId="3D17E8BF" w14:textId="7CA564DA" w:rsidR="001A76A8" w:rsidRPr="00ED1883" w:rsidRDefault="00F72357" w:rsidP="004C2F71">
      <w:pPr>
        <w:pStyle w:val="Default"/>
        <w:numPr>
          <w:ilvl w:val="1"/>
          <w:numId w:val="23"/>
        </w:numPr>
        <w:ind w:left="1134" w:hanging="425"/>
        <w:jc w:val="both"/>
        <w:rPr>
          <w:sz w:val="22"/>
        </w:rPr>
      </w:pPr>
      <w:r w:rsidRPr="00ED1883">
        <w:rPr>
          <w:sz w:val="22"/>
        </w:rPr>
        <w:t>место нахождения и адрес</w:t>
      </w:r>
      <w:r w:rsidR="00A95A71" w:rsidRPr="00ED1883">
        <w:rPr>
          <w:sz w:val="22"/>
        </w:rPr>
        <w:t>;</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Референсного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Референсному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Референсным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корректировки источников определения Референсного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85ACFB" w14:textId="61C451DF" w:rsidR="008D4F79" w:rsidRPr="00D14E2E" w:rsidDel="00525495" w:rsidRDefault="008D4F79" w:rsidP="004A48FF">
      <w:pPr>
        <w:pStyle w:val="ab"/>
        <w:numPr>
          <w:ilvl w:val="0"/>
          <w:numId w:val="22"/>
        </w:numPr>
        <w:spacing w:after="0"/>
        <w:ind w:hanging="720"/>
        <w:jc w:val="both"/>
        <w:rPr>
          <w:rFonts w:eastAsia="Times New Roman"/>
          <w:lang w:eastAsia="ru-RU"/>
        </w:rPr>
      </w:pPr>
      <w:r>
        <w:rPr>
          <w:rFonts w:ascii="Times New Roman" w:eastAsia="Times New Roman" w:hAnsi="Times New Roman"/>
          <w:color w:val="000000"/>
          <w:lang w:eastAsia="ru-RU"/>
        </w:rPr>
        <w:t>Д</w:t>
      </w:r>
      <w:r w:rsidRPr="008D4F79">
        <w:rPr>
          <w:rFonts w:ascii="Times New Roman" w:eastAsia="Times New Roman" w:hAnsi="Times New Roman"/>
          <w:color w:val="000000"/>
          <w:lang w:eastAsia="ru-RU"/>
        </w:rPr>
        <w:t>ат</w:t>
      </w:r>
      <w:r w:rsidR="00B27AAB">
        <w:rPr>
          <w:rFonts w:ascii="Times New Roman" w:eastAsia="Times New Roman" w:hAnsi="Times New Roman"/>
          <w:color w:val="000000"/>
          <w:lang w:eastAsia="ru-RU"/>
        </w:rPr>
        <w:t>ы</w:t>
      </w:r>
      <w:r w:rsidRPr="008D4F79">
        <w:rPr>
          <w:rFonts w:ascii="Times New Roman" w:eastAsia="Times New Roman" w:hAnsi="Times New Roman"/>
          <w:color w:val="000000"/>
          <w:lang w:eastAsia="ru-RU"/>
        </w:rPr>
        <w:t xml:space="preserve"> досрочного погашения Облигаций или поряд</w:t>
      </w:r>
      <w:r w:rsidR="00B27AAB">
        <w:rPr>
          <w:rFonts w:ascii="Times New Roman" w:eastAsia="Times New Roman" w:hAnsi="Times New Roman"/>
          <w:color w:val="000000"/>
          <w:lang w:eastAsia="ru-RU"/>
        </w:rPr>
        <w:t>ка</w:t>
      </w:r>
      <w:r w:rsidRPr="008D4F79">
        <w:rPr>
          <w:rFonts w:ascii="Times New Roman" w:eastAsia="Times New Roman" w:hAnsi="Times New Roman"/>
          <w:color w:val="000000"/>
          <w:lang w:eastAsia="ru-RU"/>
        </w:rPr>
        <w:t xml:space="preserve"> ее определения в случае, указанном в подпункте а) пункта 5.6.2 Решения о выпуске</w:t>
      </w:r>
      <w:r>
        <w:rPr>
          <w:rFonts w:ascii="Times New Roman" w:eastAsia="Times New Roman" w:hAnsi="Times New Roman"/>
          <w:color w:val="000000"/>
          <w:lang w:eastAsia="ru-RU"/>
        </w:rPr>
        <w:t>;</w:t>
      </w:r>
    </w:p>
    <w:p w14:paraId="0889FC4B" w14:textId="22A992F4" w:rsidR="00F72357" w:rsidRPr="00D14E2E" w:rsidRDefault="00F72357" w:rsidP="00F72357">
      <w:pPr>
        <w:pStyle w:val="Default"/>
        <w:numPr>
          <w:ilvl w:val="0"/>
          <w:numId w:val="22"/>
        </w:numPr>
        <w:spacing w:before="20"/>
        <w:ind w:left="714" w:hanging="714"/>
        <w:rPr>
          <w:rFonts w:eastAsia="Times New Roman"/>
          <w:sz w:val="22"/>
          <w:szCs w:val="22"/>
          <w:lang w:eastAsia="ru-RU"/>
        </w:rPr>
      </w:pPr>
      <w:r w:rsidRPr="00D14E2E">
        <w:rPr>
          <w:rFonts w:eastAsia="Times New Roman"/>
          <w:sz w:val="22"/>
          <w:szCs w:val="22"/>
          <w:lang w:eastAsia="ru-RU"/>
        </w:rPr>
        <w:t>Расч</w:t>
      </w:r>
      <w:r w:rsidR="00576C4E">
        <w:rPr>
          <w:rFonts w:eastAsia="Times New Roman"/>
          <w:sz w:val="22"/>
          <w:szCs w:val="22"/>
          <w:lang w:eastAsia="ru-RU"/>
        </w:rPr>
        <w:t>е</w:t>
      </w:r>
      <w:r w:rsidRPr="00D14E2E">
        <w:rPr>
          <w:rFonts w:eastAsia="Times New Roman"/>
          <w:sz w:val="22"/>
          <w:szCs w:val="22"/>
          <w:lang w:eastAsia="ru-RU"/>
        </w:rPr>
        <w:t>тного агента, включая следующие сведения о н</w:t>
      </w:r>
      <w:r w:rsidR="00576C4E">
        <w:rPr>
          <w:rFonts w:eastAsia="Times New Roman"/>
          <w:sz w:val="22"/>
          <w:szCs w:val="22"/>
          <w:lang w:eastAsia="ru-RU"/>
        </w:rPr>
        <w:t>е</w:t>
      </w:r>
      <w:r w:rsidRPr="00D14E2E">
        <w:rPr>
          <w:rFonts w:eastAsia="Times New Roman"/>
          <w:sz w:val="22"/>
          <w:szCs w:val="22"/>
          <w:lang w:eastAsia="ru-RU"/>
        </w:rPr>
        <w:t>м:</w:t>
      </w:r>
    </w:p>
    <w:p w14:paraId="30A08E1B"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полное фирменное наименование (наименование);</w:t>
      </w:r>
    </w:p>
    <w:p w14:paraId="1A7878E1" w14:textId="77777777" w:rsidR="00F72357" w:rsidRPr="00D14E2E" w:rsidRDefault="00F72357" w:rsidP="00F72357">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сокращенное фирменное наименование (при наличии);</w:t>
      </w:r>
    </w:p>
    <w:p w14:paraId="1AC205C4" w14:textId="77777777" w:rsidR="00F72357" w:rsidRPr="00D14E2E" w:rsidRDefault="00F72357" w:rsidP="00ED1883">
      <w:pPr>
        <w:pStyle w:val="Default"/>
        <w:numPr>
          <w:ilvl w:val="1"/>
          <w:numId w:val="24"/>
        </w:numPr>
        <w:ind w:left="1134" w:hanging="425"/>
        <w:jc w:val="both"/>
        <w:rPr>
          <w:rFonts w:eastAsia="Times New Roman"/>
          <w:sz w:val="22"/>
          <w:szCs w:val="22"/>
          <w:lang w:eastAsia="ru-RU"/>
        </w:rPr>
      </w:pPr>
      <w:r w:rsidRPr="00D14E2E">
        <w:rPr>
          <w:rFonts w:eastAsia="Times New Roman"/>
          <w:sz w:val="22"/>
          <w:szCs w:val="22"/>
          <w:lang w:eastAsia="ru-RU"/>
        </w:rPr>
        <w:t>ОГРН (при наличии) и (или) международный код идентификации юридического лица (</w:t>
      </w:r>
      <w:r w:rsidRPr="00D14E2E">
        <w:rPr>
          <w:rFonts w:eastAsia="Times New Roman"/>
          <w:sz w:val="22"/>
          <w:szCs w:val="22"/>
          <w:lang w:val="en-US" w:eastAsia="ru-RU"/>
        </w:rPr>
        <w:t>LEI</w:t>
      </w:r>
      <w:r w:rsidRPr="00D14E2E">
        <w:rPr>
          <w:rFonts w:eastAsia="Times New Roman"/>
          <w:sz w:val="22"/>
          <w:szCs w:val="22"/>
          <w:lang w:eastAsia="ru-RU"/>
        </w:rPr>
        <w:t xml:space="preserve">) или иной идентификационный номер юридического лица, присвоенный такому лицу в </w:t>
      </w:r>
      <w:r w:rsidRPr="00D14E2E">
        <w:rPr>
          <w:rFonts w:eastAsia="Times New Roman"/>
          <w:sz w:val="22"/>
          <w:szCs w:val="22"/>
          <w:lang w:eastAsia="ru-RU"/>
        </w:rPr>
        <w:lastRenderedPageBreak/>
        <w:t>соответствии с личным законом юридического лица, с указанием типа идентифицирующего номера;</w:t>
      </w:r>
    </w:p>
    <w:p w14:paraId="2063E242" w14:textId="5E776904" w:rsidR="00F72357" w:rsidRPr="00D14E2E" w:rsidRDefault="00F72357" w:rsidP="00ED1883">
      <w:pPr>
        <w:pStyle w:val="Default"/>
        <w:numPr>
          <w:ilvl w:val="1"/>
          <w:numId w:val="24"/>
        </w:numPr>
        <w:ind w:left="1134" w:hanging="425"/>
        <w:rPr>
          <w:rFonts w:eastAsia="Times New Roman"/>
          <w:sz w:val="22"/>
          <w:szCs w:val="22"/>
          <w:lang w:eastAsia="ru-RU"/>
        </w:rPr>
      </w:pPr>
      <w:r w:rsidRPr="00D14E2E">
        <w:rPr>
          <w:rFonts w:eastAsia="Times New Roman"/>
          <w:sz w:val="22"/>
          <w:szCs w:val="22"/>
          <w:lang w:eastAsia="ru-RU"/>
        </w:rPr>
        <w:t>место нахождения и адрес.</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Фиксинга (типа фиксации для определения Фиксинга);</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1822DC6B" w14:textId="15D10A3D" w:rsidR="00F72357" w:rsidRPr="004C2F71" w:rsidRDefault="00F72357" w:rsidP="00ED1883">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способа определения размера выплаты при</w:t>
      </w:r>
      <w:r w:rsidR="00D652E1">
        <w:rPr>
          <w:rFonts w:eastAsia="Times New Roman"/>
          <w:sz w:val="22"/>
          <w:szCs w:val="22"/>
          <w:lang w:eastAsia="ru-RU"/>
        </w:rPr>
        <w:t xml:space="preserve"> погашении и</w:t>
      </w:r>
      <w:r w:rsidRPr="00D14E2E">
        <w:rPr>
          <w:rFonts w:eastAsia="Times New Roman"/>
          <w:sz w:val="22"/>
          <w:szCs w:val="22"/>
          <w:lang w:eastAsia="ru-RU"/>
        </w:rPr>
        <w:t xml:space="preserve"> </w:t>
      </w:r>
      <w:r w:rsidR="005E49F6">
        <w:rPr>
          <w:rFonts w:eastAsia="Times New Roman"/>
          <w:sz w:val="22"/>
          <w:szCs w:val="22"/>
          <w:lang w:eastAsia="ru-RU"/>
        </w:rPr>
        <w:t xml:space="preserve">досрочном </w:t>
      </w:r>
      <w:r w:rsidRPr="00D14E2E">
        <w:rPr>
          <w:rFonts w:eastAsia="Times New Roman"/>
          <w:sz w:val="22"/>
          <w:szCs w:val="22"/>
          <w:lang w:eastAsia="ru-RU"/>
        </w:rPr>
        <w:t>погашении Облигаций</w:t>
      </w:r>
      <w:r w:rsidR="00D652E1">
        <w:rPr>
          <w:rFonts w:eastAsia="Times New Roman"/>
          <w:sz w:val="22"/>
          <w:szCs w:val="22"/>
          <w:lang w:eastAsia="ru-RU"/>
        </w:rPr>
        <w:t xml:space="preserve"> </w:t>
      </w:r>
      <w:r w:rsidR="006A2465">
        <w:rPr>
          <w:rFonts w:eastAsia="Times New Roman"/>
          <w:sz w:val="22"/>
          <w:szCs w:val="22"/>
          <w:lang w:eastAsia="ru-RU"/>
        </w:rPr>
        <w:t>после</w:t>
      </w:r>
      <w:r w:rsidR="006A2465" w:rsidRPr="005E49F6">
        <w:rPr>
          <w:rFonts w:eastAsia="Times New Roman"/>
          <w:sz w:val="22"/>
          <w:szCs w:val="22"/>
          <w:lang w:eastAsia="ru-RU"/>
        </w:rPr>
        <w:t xml:space="preserve"> </w:t>
      </w:r>
      <w:r w:rsidR="005E49F6" w:rsidRPr="005E49F6">
        <w:rPr>
          <w:rFonts w:eastAsia="Times New Roman"/>
          <w:sz w:val="22"/>
          <w:szCs w:val="22"/>
          <w:lang w:eastAsia="ru-RU"/>
        </w:rPr>
        <w:t>наступлени</w:t>
      </w:r>
      <w:r w:rsidR="006A2465">
        <w:rPr>
          <w:rFonts w:eastAsia="Times New Roman"/>
          <w:sz w:val="22"/>
          <w:szCs w:val="22"/>
          <w:lang w:eastAsia="ru-RU"/>
        </w:rPr>
        <w:t>я</w:t>
      </w:r>
      <w:r w:rsidR="005E49F6" w:rsidRPr="005E49F6">
        <w:rPr>
          <w:rFonts w:eastAsia="Times New Roman"/>
          <w:sz w:val="22"/>
          <w:szCs w:val="22"/>
          <w:lang w:eastAsia="ru-RU"/>
        </w:rPr>
        <w:t xml:space="preserve"> События дестабилизации</w:t>
      </w:r>
      <w:r w:rsidR="006A2465">
        <w:rPr>
          <w:rFonts w:eastAsia="Times New Roman"/>
          <w:sz w:val="22"/>
          <w:szCs w:val="22"/>
          <w:lang w:eastAsia="ru-RU"/>
        </w:rPr>
        <w:t xml:space="preserve">, </w:t>
      </w:r>
      <w:r w:rsidR="003B4AF8">
        <w:rPr>
          <w:rFonts w:eastAsia="Times New Roman"/>
          <w:sz w:val="22"/>
          <w:szCs w:val="22"/>
          <w:lang w:eastAsia="ru-RU"/>
        </w:rPr>
        <w:t>если в Решении о ключевых условиях определ</w:t>
      </w:r>
      <w:r w:rsidR="00723413">
        <w:rPr>
          <w:rFonts w:eastAsia="Times New Roman"/>
          <w:sz w:val="22"/>
          <w:szCs w:val="22"/>
          <w:lang w:eastAsia="ru-RU"/>
        </w:rPr>
        <w:t>яется</w:t>
      </w:r>
      <w:r w:rsidR="003B4AF8">
        <w:rPr>
          <w:rFonts w:eastAsia="Times New Roman"/>
          <w:sz w:val="22"/>
          <w:szCs w:val="22"/>
          <w:lang w:eastAsia="ru-RU"/>
        </w:rPr>
        <w:t xml:space="preserve"> способ, отличный от установленного в пункте 5.3.1 Решения о выпуске</w:t>
      </w:r>
      <w:r w:rsidR="00612CDE">
        <w:rPr>
          <w:rFonts w:eastAsiaTheme="minorEastAsia"/>
          <w:color w:val="auto"/>
          <w:sz w:val="22"/>
          <w:szCs w:val="22"/>
          <w:lang w:eastAsia="ru-RU"/>
        </w:rPr>
        <w:t>;</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7F941452" w14:textId="1225654D" w:rsidR="004F5FD7" w:rsidRPr="00FA6BBF" w:rsidRDefault="004F5FD7" w:rsidP="007C7DA0">
      <w:pPr>
        <w:autoSpaceDE w:val="0"/>
        <w:autoSpaceDN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Эмитент вправе определить в Решении о ключевых условиях, что отдельные параметры, которые должны быть </w:t>
      </w:r>
      <w:r w:rsidR="00922BF7" w:rsidRPr="00FA6BBF">
        <w:rPr>
          <w:rFonts w:ascii="Times New Roman" w:eastAsia="Times New Roman" w:hAnsi="Times New Roman"/>
          <w:bCs/>
          <w:iCs/>
          <w:lang w:eastAsia="ru-RU"/>
        </w:rPr>
        <w:t>определены в н</w:t>
      </w:r>
      <w:r w:rsidR="00576C4E">
        <w:rPr>
          <w:rFonts w:ascii="Times New Roman" w:eastAsia="Times New Roman" w:hAnsi="Times New Roman"/>
          <w:bCs/>
          <w:iCs/>
          <w:lang w:eastAsia="ru-RU"/>
        </w:rPr>
        <w:t>е</w:t>
      </w:r>
      <w:r w:rsidR="00922BF7" w:rsidRPr="00FA6BBF">
        <w:rPr>
          <w:rFonts w:ascii="Times New Roman" w:eastAsia="Times New Roman" w:hAnsi="Times New Roman"/>
          <w:bCs/>
          <w:iCs/>
          <w:lang w:eastAsia="ru-RU"/>
        </w:rPr>
        <w:t>м</w:t>
      </w:r>
      <w:r w:rsidRPr="00FA6BBF">
        <w:rPr>
          <w:rFonts w:ascii="Times New Roman" w:eastAsia="Times New Roman" w:hAnsi="Times New Roman"/>
          <w:bCs/>
          <w:iCs/>
          <w:lang w:eastAsia="ru-RU"/>
        </w:rPr>
        <w:t xml:space="preserve">, </w:t>
      </w:r>
      <w:r w:rsidR="00922BF7" w:rsidRPr="00FA6BBF">
        <w:rPr>
          <w:rFonts w:ascii="Times New Roman" w:eastAsia="Times New Roman" w:hAnsi="Times New Roman"/>
          <w:bCs/>
          <w:iCs/>
          <w:lang w:eastAsia="ru-RU"/>
        </w:rPr>
        <w:t xml:space="preserve">будут определены </w:t>
      </w:r>
      <w:r w:rsidR="00E75BC8">
        <w:rPr>
          <w:rFonts w:ascii="Times New Roman" w:eastAsia="Times New Roman" w:hAnsi="Times New Roman"/>
          <w:bCs/>
          <w:iCs/>
          <w:lang w:eastAsia="ru-RU"/>
        </w:rPr>
        <w:t>отдельным(-и) решением(-ями)</w:t>
      </w:r>
      <w:r w:rsidR="00E75BC8" w:rsidRPr="00E75BC8">
        <w:rPr>
          <w:rFonts w:ascii="Times New Roman" w:eastAsia="Times New Roman" w:hAnsi="Times New Roman"/>
          <w:bCs/>
          <w:iCs/>
          <w:lang w:eastAsia="ru-RU"/>
        </w:rPr>
        <w:t xml:space="preserve"> уполномоченного органа или уполномоченного должностного лица Эмитента</w:t>
      </w:r>
      <w:r w:rsidR="00E75BC8">
        <w:rPr>
          <w:rFonts w:ascii="Times New Roman" w:eastAsia="Times New Roman" w:hAnsi="Times New Roman"/>
          <w:bCs/>
          <w:iCs/>
          <w:lang w:eastAsia="ru-RU"/>
        </w:rPr>
        <w:t xml:space="preserve"> в срок</w:t>
      </w:r>
      <w:r w:rsidRPr="00FA6BBF">
        <w:rPr>
          <w:rFonts w:ascii="Times New Roman" w:eastAsia="Times New Roman" w:hAnsi="Times New Roman"/>
          <w:bCs/>
          <w:iCs/>
          <w:lang w:eastAsia="ru-RU"/>
        </w:rPr>
        <w:t xml:space="preserve"> до начала размещения Облигаций.</w:t>
      </w:r>
      <w:r w:rsidR="00B66224" w:rsidRPr="00FA6BBF">
        <w:rPr>
          <w:rFonts w:ascii="Times New Roman" w:eastAsia="Times New Roman" w:hAnsi="Times New Roman"/>
          <w:bCs/>
          <w:iCs/>
          <w:lang w:eastAsia="ru-RU"/>
        </w:rPr>
        <w:t xml:space="preserve"> Во избежание недоразумений решение (решения) уполномоченного органа или уполномоченного должностного лица Эмитента об определении </w:t>
      </w:r>
      <w:r w:rsidR="00E50A10" w:rsidRPr="00FA6BBF">
        <w:rPr>
          <w:rFonts w:ascii="Times New Roman" w:eastAsia="Times New Roman" w:hAnsi="Times New Roman"/>
          <w:bCs/>
          <w:iCs/>
          <w:lang w:eastAsia="ru-RU"/>
        </w:rPr>
        <w:t>таких отдельных параметров будет (будут) также считаться частью Решения о ключевых условиях.</w:t>
      </w:r>
    </w:p>
    <w:p w14:paraId="4DCB4820" w14:textId="2FC05925" w:rsidR="00BC7690" w:rsidRPr="00FA6BBF" w:rsidRDefault="004F5FD7"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(-ями)</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Референсного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Неликвидность;</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F4DF9D7" w:rsidR="0006005B" w:rsidRDefault="00D06287" w:rsidP="00ED188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не зависящая от воли Эмитента невозможность или неправомерность принятия или совершения платежей, а также иного исполнения по сделкам с Референсным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lastRenderedPageBreak/>
        <w:t xml:space="preserve">невозможность </w:t>
      </w:r>
      <w:r w:rsidR="00E96604" w:rsidRPr="0005295C">
        <w:rPr>
          <w:rFonts w:ascii="Times New Roman" w:eastAsiaTheme="minorEastAsia" w:hAnsi="Times New Roman"/>
          <w:lang w:eastAsia="ru-RU"/>
        </w:rPr>
        <w:t>замены Референсного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Изменения источника Референсного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В случае если в Решении о ключевых условиях определено несколько Референсных активов (Корзина), Событие дестабилизации считается наступившим, если любое из указанных выше событий наступило в отношении любого Референсного актива, включенного в Корзину.</w:t>
      </w:r>
    </w:p>
    <w:p w14:paraId="6DCF91E9" w14:textId="6D76AF1B" w:rsidR="00576C4E"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Изменению источника Референсного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Изменение источника Референсного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публикация значений Референсного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Фиксинг</w:t>
      </w:r>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значение Референсного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в которую в соответствии с Решением о выпуске следует устанавливать значение Фиксинга</w:t>
      </w:r>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r w:rsidR="005813CB" w:rsidRPr="00A8666E">
        <w:rPr>
          <w:rFonts w:ascii="Times New Roman" w:eastAsia="Times New Roman" w:hAnsi="Times New Roman"/>
          <w:szCs w:val="24"/>
          <w:lang w:eastAsia="ru-RU"/>
        </w:rPr>
        <w:t>Фиксинг</w:t>
      </w:r>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всех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r w:rsidR="00E7012A" w:rsidRPr="00A8666E">
        <w:rPr>
          <w:rFonts w:ascii="Times New Roman" w:eastAsia="Times New Roman" w:hAnsi="Times New Roman"/>
          <w:szCs w:val="24"/>
          <w:lang w:eastAsia="ru-RU"/>
        </w:rPr>
        <w:t>Референсных</w:t>
      </w:r>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74D0000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r w:rsidR="002D4536"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 </w:t>
      </w:r>
      <w:r w:rsidR="005813CB" w:rsidRPr="00A8666E">
        <w:rPr>
          <w:rFonts w:ascii="Times New Roman" w:eastAsia="Times New Roman" w:hAnsi="Times New Roman"/>
          <w:szCs w:val="24"/>
          <w:lang w:eastAsia="ru-RU"/>
        </w:rPr>
        <w:t>Фиксинг</w:t>
      </w:r>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E7012A" w:rsidRPr="00A8666E">
        <w:rPr>
          <w:rFonts w:ascii="Times New Roman" w:eastAsia="Times New Roman" w:hAnsi="Times New Roman"/>
          <w:szCs w:val="24"/>
          <w:lang w:eastAsia="ru-RU"/>
        </w:rPr>
        <w:t>Референсного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3E41DC" w:rsidRPr="00A8666E">
        <w:rPr>
          <w:rFonts w:ascii="Times New Roman" w:eastAsia="Times New Roman" w:hAnsi="Times New Roman"/>
          <w:szCs w:val="24"/>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r w:rsidR="005813CB" w:rsidRPr="00A8666E">
        <w:rPr>
          <w:rFonts w:ascii="Times New Roman" w:eastAsia="Times New Roman" w:hAnsi="Times New Roman"/>
          <w:szCs w:val="24"/>
          <w:lang w:eastAsia="ru-RU"/>
        </w:rPr>
        <w:lastRenderedPageBreak/>
        <w:t>Фиксинг</w:t>
      </w:r>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005813CB" w:rsidRPr="00A8666E">
        <w:rPr>
          <w:rFonts w:ascii="Times New Roman" w:eastAsia="Times New Roman" w:hAnsi="Times New Roman"/>
          <w:szCs w:val="24"/>
          <w:lang w:eastAsia="ru-RU"/>
        </w:rPr>
        <w:t>Референсных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r w:rsidR="005813CB" w:rsidRPr="00A8666E">
        <w:rPr>
          <w:rFonts w:ascii="Times New Roman" w:eastAsia="Times New Roman" w:hAnsi="Times New Roman"/>
          <w:szCs w:val="24"/>
          <w:lang w:eastAsia="ru-RU"/>
        </w:rPr>
        <w:t>Фиксинг</w:t>
      </w:r>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r w:rsidR="0046739F" w:rsidRPr="00A8666E">
        <w:rPr>
          <w:rFonts w:ascii="Times New Roman" w:eastAsia="Times New Roman" w:hAnsi="Times New Roman"/>
          <w:szCs w:val="24"/>
          <w:lang w:eastAsia="ru-RU"/>
        </w:rPr>
        <w:t>Референсному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 значений», то Фиксинг в соотве</w:t>
      </w:r>
      <w:r w:rsidR="0069102D" w:rsidRPr="00C217AB">
        <w:rPr>
          <w:rFonts w:ascii="Times New Roman" w:eastAsia="Times New Roman" w:hAnsi="Times New Roman"/>
          <w:szCs w:val="24"/>
          <w:lang w:eastAsia="ru-RU"/>
        </w:rPr>
        <w:t xml:space="preserve">тствующую дату равен разнице </w:t>
      </w:r>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 xml:space="preserve">еренсных значений </w:t>
      </w:r>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 xml:space="preserve">ых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30099166"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Во избежание сомнений при обращении к источнику определения Референсного значения значение</w:t>
      </w:r>
      <w:r w:rsidR="003D1CBA" w:rsidRPr="0034133A">
        <w:rPr>
          <w:rFonts w:ascii="Times New Roman" w:eastAsia="Times New Roman" w:hAnsi="Times New Roman"/>
          <w:bCs/>
          <w:iCs/>
          <w:lang w:eastAsia="ru-RU"/>
        </w:rPr>
        <w:t xml:space="preserve"> Референсного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3D1CBA" w:rsidRPr="0034133A">
        <w:rPr>
          <w:rFonts w:ascii="Times New Roman" w:eastAsia="Times New Roman" w:hAnsi="Times New Roman"/>
          <w:bCs/>
          <w:iCs/>
          <w:lang w:eastAsia="ru-RU"/>
        </w:rPr>
        <w:t xml:space="preserve">сайту, на котором указаны значения Референсного актива,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должно быть определено значение Референсного актива. В частности, если при обращении к источнику в дату, по состоянию на которую нужно определить Референсное значение, в указанном источнике отсутствует информация о котировке на такую дату, а имеется только информация о котировках за предшествующие даты, Референсное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6ED16ED"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Референсного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3C1A7E79"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w:t>
      </w:r>
      <w:r w:rsidR="00CB5EF3" w:rsidRPr="00FA6BBF">
        <w:rPr>
          <w:rFonts w:ascii="Times New Roman" w:hAnsi="Times New Roman"/>
        </w:rPr>
        <w:lastRenderedPageBreak/>
        <w:t xml:space="preserve">и (или) нести обязанности (в частности, по принятию или совершению платежей) по сделке с Референсным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Референсного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361E1A05" w:rsidR="00E147F7" w:rsidRPr="008131C0"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облигации с централизованным учетом прав серии </w:t>
      </w:r>
      <w:r w:rsidR="00916CD5">
        <w:rPr>
          <w:rFonts w:ascii="Times New Roman" w:eastAsiaTheme="minorHAnsi" w:hAnsi="Times New Roman"/>
          <w:bCs/>
          <w:iCs/>
          <w:szCs w:val="24"/>
        </w:rPr>
        <w:t>С-1-</w:t>
      </w:r>
      <w:r w:rsidR="005D32D7">
        <w:rPr>
          <w:rFonts w:ascii="Times New Roman" w:eastAsiaTheme="minorHAnsi" w:hAnsi="Times New Roman"/>
          <w:bCs/>
          <w:iCs/>
          <w:szCs w:val="24"/>
        </w:rPr>
        <w:t>155</w:t>
      </w:r>
      <w:r w:rsidR="008131C0" w:rsidRPr="008131C0">
        <w:rPr>
          <w:rFonts w:ascii="Times New Roman" w:eastAsiaTheme="minorHAnsi" w:hAnsi="Times New Roman"/>
          <w:bCs/>
          <w:iCs/>
          <w:szCs w:val="24"/>
        </w:rPr>
        <w:t>2</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482186D8"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 (</w:t>
      </w:r>
      <w:r w:rsidR="006A24A0" w:rsidRPr="00FA6BBF">
        <w:rPr>
          <w:rFonts w:ascii="Times New Roman" w:eastAsia="Times New Roman" w:hAnsi="Times New Roman"/>
          <w:szCs w:val="24"/>
          <w:lang w:eastAsia="ru-RU"/>
        </w:rPr>
        <w:t xml:space="preserve">или </w:t>
      </w:r>
      <w:r w:rsidR="00B80E12" w:rsidRPr="00FA6BBF">
        <w:rPr>
          <w:rFonts w:ascii="Times New Roman" w:eastAsia="Times New Roman" w:hAnsi="Times New Roman"/>
          <w:szCs w:val="24"/>
          <w:lang w:eastAsia="ru-RU"/>
        </w:rPr>
        <w:t>ее часть,</w:t>
      </w:r>
      <w:r w:rsidRPr="00FA6BBF">
        <w:rPr>
          <w:rFonts w:ascii="Times New Roman" w:eastAsia="Times New Roman" w:hAnsi="Times New Roman"/>
          <w:szCs w:val="24"/>
          <w:lang w:eastAsia="ru-RU"/>
        </w:rPr>
        <w:t xml:space="preserve"> размер которой </w:t>
      </w:r>
      <w:r w:rsidR="00B80E12" w:rsidRPr="00FA6BBF">
        <w:rPr>
          <w:rFonts w:ascii="Times New Roman" w:eastAsia="Times New Roman" w:hAnsi="Times New Roman"/>
          <w:szCs w:val="24"/>
          <w:lang w:eastAsia="ru-RU"/>
        </w:rPr>
        <w:t>определяется в п</w:t>
      </w:r>
      <w:r w:rsidRPr="00FA6BBF">
        <w:rPr>
          <w:rFonts w:ascii="Times New Roman" w:eastAsia="Times New Roman" w:hAnsi="Times New Roman"/>
          <w:szCs w:val="24"/>
          <w:lang w:eastAsia="ru-RU"/>
        </w:rPr>
        <w:t>орядк</w:t>
      </w:r>
      <w:r w:rsidR="00B80E12" w:rsidRPr="00FA6BBF">
        <w:rPr>
          <w:rFonts w:ascii="Times New Roman" w:eastAsia="Times New Roman" w:hAnsi="Times New Roman"/>
          <w:szCs w:val="24"/>
          <w:lang w:eastAsia="ru-RU"/>
        </w:rPr>
        <w:t>е, предусмотренном</w:t>
      </w:r>
      <w:r w:rsidRPr="00FA6BBF">
        <w:rPr>
          <w:rFonts w:ascii="Times New Roman" w:eastAsia="Times New Roman" w:hAnsi="Times New Roman"/>
          <w:szCs w:val="24"/>
          <w:lang w:eastAsia="ru-RU"/>
        </w:rPr>
        <w:t xml:space="preserve"> Решени</w:t>
      </w:r>
      <w:r w:rsidR="00B80E12" w:rsidRPr="00FA6BBF">
        <w:rPr>
          <w:rFonts w:ascii="Times New Roman" w:eastAsia="Times New Roman" w:hAnsi="Times New Roman"/>
          <w:szCs w:val="24"/>
          <w:lang w:eastAsia="ru-RU"/>
        </w:rPr>
        <w:t>ем</w:t>
      </w:r>
      <w:r w:rsidRPr="00FA6BBF">
        <w:rPr>
          <w:rFonts w:ascii="Times New Roman" w:eastAsia="Times New Roman" w:hAnsi="Times New Roman"/>
          <w:szCs w:val="24"/>
          <w:lang w:eastAsia="ru-RU"/>
        </w:rPr>
        <w:t xml:space="preserve"> о выпуске</w:t>
      </w:r>
      <w:r w:rsidR="00003BD0" w:rsidRPr="00FA6BBF">
        <w:rPr>
          <w:rFonts w:ascii="Times New Roman" w:eastAsia="Times New Roman" w:hAnsi="Times New Roman"/>
          <w:szCs w:val="24"/>
          <w:lang w:eastAsia="ru-RU"/>
        </w:rPr>
        <w:t>)</w:t>
      </w:r>
      <w:r w:rsidR="00B80E12" w:rsidRPr="00FA6BBF">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в зависимости от наступления или ненаступления одного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порядок определения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продавать и иным образом отчуждать Облигацию в соответствии с законодательством </w:t>
      </w:r>
      <w:r w:rsidRPr="00FA6BBF">
        <w:rPr>
          <w:rFonts w:ascii="Times New Roman" w:eastAsia="Times New Roman" w:hAnsi="Times New Roman"/>
          <w:szCs w:val="24"/>
          <w:lang w:eastAsia="ru-RU"/>
        </w:rPr>
        <w:lastRenderedPageBreak/>
        <w:t>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требовать досрочного погашения Облигации в случае существенного нарушения 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77777777"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4.2.2. Для структурных облигаций указывается право владельцев структурных облигаций на получение выплат по ним в зависимости от наступления или ненаступления одного или нескольких обстоятельств, предусмотренных решением о выпуске структурных облигаций.</w:t>
      </w:r>
    </w:p>
    <w:p w14:paraId="06AF9C71" w14:textId="16C31E69"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Обстоятельствами, от наступления или ненаступления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0E165F">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и (или) </w:t>
      </w:r>
      <w:r w:rsidR="000E165F">
        <w:rPr>
          <w:rFonts w:ascii="Times New Roman" w:eastAsia="Times New Roman" w:hAnsi="Times New Roman"/>
          <w:szCs w:val="24"/>
          <w:lang w:eastAsia="ru-RU"/>
        </w:rPr>
        <w:t xml:space="preserve">наступление </w:t>
      </w:r>
      <w:r w:rsidR="00C03F69" w:rsidRPr="00FA6BBF">
        <w:rPr>
          <w:rFonts w:ascii="Times New Roman" w:eastAsia="Times New Roman" w:hAnsi="Times New Roman"/>
          <w:szCs w:val="24"/>
          <w:lang w:eastAsia="ru-RU"/>
        </w:rPr>
        <w:t>События дестабилизации.</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lastRenderedPageBreak/>
        <w:t>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lastRenderedPageBreak/>
        <w:t>5.3.1. Порядок определения выплат по каждой структурной облигации при ее погашении</w:t>
      </w:r>
    </w:p>
    <w:p w14:paraId="04958AD8" w14:textId="6C71AEE9"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Обстоятельствами, от наступления или ненаступления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004F3126">
        <w:rPr>
          <w:rFonts w:ascii="Times New Roman" w:eastAsia="Times New Roman" w:hAnsi="Times New Roman"/>
          <w:szCs w:val="24"/>
          <w:lang w:eastAsia="ru-RU"/>
        </w:rPr>
        <w:t xml:space="preserve"> и</w:t>
      </w:r>
      <w:r w:rsidR="006646A5">
        <w:rPr>
          <w:rFonts w:ascii="Times New Roman" w:eastAsia="Times New Roman" w:hAnsi="Times New Roman"/>
          <w:szCs w:val="24"/>
          <w:lang w:eastAsia="ru-RU"/>
        </w:rPr>
        <w:t xml:space="preserve"> </w:t>
      </w:r>
      <w:r w:rsidR="003D32E9">
        <w:rPr>
          <w:rFonts w:ascii="Times New Roman" w:eastAsia="Times New Roman" w:hAnsi="Times New Roman"/>
          <w:szCs w:val="24"/>
          <w:lang w:eastAsia="ru-RU"/>
        </w:rPr>
        <w:t>наступление</w:t>
      </w:r>
      <w:r w:rsidRPr="00FA6BBF">
        <w:rPr>
          <w:rFonts w:ascii="Times New Roman" w:eastAsia="Times New Roman" w:hAnsi="Times New Roman"/>
          <w:szCs w:val="24"/>
          <w:lang w:eastAsia="ru-RU"/>
        </w:rPr>
        <w:t xml:space="preserve"> События дестабилизации.</w:t>
      </w:r>
    </w:p>
    <w:p w14:paraId="77FC2302" w14:textId="0DF52F52"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22384F1F" w:rsidR="00BB7815" w:rsidRDefault="00BB7815"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отсутствует</w:t>
      </w:r>
      <w:r w:rsidRPr="0074415E">
        <w:rPr>
          <w:rFonts w:ascii="Times New Roman" w:eastAsia="Times New Roman" w:hAnsi="Times New Roman"/>
          <w:szCs w:val="24"/>
          <w:lang w:eastAsia="ru-RU"/>
        </w:rPr>
        <w:t xml:space="preserve"> Событие дестабилизации, и при этом в </w:t>
      </w:r>
      <w:r>
        <w:rPr>
          <w:rFonts w:ascii="Times New Roman" w:eastAsia="Times New Roman" w:hAnsi="Times New Roman"/>
          <w:szCs w:val="24"/>
          <w:lang w:eastAsia="ru-RU"/>
        </w:rPr>
        <w:t>Предельную д</w:t>
      </w:r>
      <w:r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06050CEB"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 то применяется следующий порядок определения размера выплаты:</w:t>
      </w:r>
    </w:p>
    <w:p w14:paraId="162E4BFA" w14:textId="0ACD5A2F"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Барьеру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304CEFF" w:rsidR="00EB1F67" w:rsidRPr="0074415E" w:rsidRDefault="00D652E1" w:rsidP="0074415E">
      <w:pPr>
        <w:pStyle w:val="ab"/>
        <w:widowControl w:val="0"/>
        <w:numPr>
          <w:ilvl w:val="0"/>
          <w:numId w:val="42"/>
        </w:numPr>
        <w:autoSpaceDE w:val="0"/>
        <w:autoSpaceDN w:val="0"/>
        <w:adjustRightInd w:val="0"/>
        <w:spacing w:after="120" w:line="240" w:lineRule="auto"/>
        <w:ind w:left="426" w:hanging="426"/>
        <w:jc w:val="both"/>
        <w:rPr>
          <w:rFonts w:ascii="Times New Roman" w:eastAsia="Times New Roman" w:hAnsi="Times New Roman"/>
          <w:lang w:eastAsia="ru-RU"/>
        </w:rPr>
      </w:pPr>
      <w:r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szCs w:val="24"/>
          <w:lang w:eastAsia="ru-RU"/>
        </w:rPr>
        <w:t xml:space="preserve">наступающего </w:t>
      </w:r>
      <w:r w:rsidR="001C3EC1">
        <w:rPr>
          <w:rFonts w:ascii="Times New Roman" w:eastAsia="Times New Roman" w:hAnsi="Times New Roman"/>
          <w:lang w:eastAsia="ru-RU"/>
        </w:rPr>
        <w:t>за 2 (два) Рабочих дня до</w:t>
      </w:r>
      <w:r w:rsidR="001C3EC1" w:rsidRPr="0074415E">
        <w:rPr>
          <w:rFonts w:ascii="Times New Roman" w:eastAsia="Times New Roman" w:hAnsi="Times New Roman"/>
          <w:szCs w:val="24"/>
          <w:lang w:eastAsia="ru-RU"/>
        </w:rPr>
        <w:t xml:space="preserve"> </w:t>
      </w:r>
      <w:r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Pr="0074415E">
        <w:rPr>
          <w:rFonts w:ascii="Times New Roman" w:eastAsia="Times New Roman" w:hAnsi="Times New Roman"/>
          <w:szCs w:val="24"/>
          <w:u w:val="single"/>
          <w:lang w:eastAsia="ru-RU"/>
        </w:rPr>
        <w:t>имеет место</w:t>
      </w:r>
      <w:r w:rsidRPr="0074415E">
        <w:rPr>
          <w:rFonts w:ascii="Times New Roman" w:eastAsia="Times New Roman" w:hAnsi="Times New Roman"/>
          <w:szCs w:val="24"/>
          <w:lang w:eastAsia="ru-RU"/>
        </w:rPr>
        <w:t xml:space="preserve"> Событие дестабилизации, </w:t>
      </w:r>
      <w:r w:rsidRPr="0074415E">
        <w:rPr>
          <w:rFonts w:ascii="Times New Roman" w:eastAsia="Times New Roman" w:hAnsi="Times New Roman"/>
          <w:lang w:eastAsia="ru-RU"/>
        </w:rPr>
        <w:t>размер выплат при погашении Облигаций</w:t>
      </w:r>
      <w:r w:rsidR="00073659">
        <w:rPr>
          <w:rFonts w:ascii="Times New Roman" w:eastAsia="Times New Roman" w:hAnsi="Times New Roman"/>
          <w:lang w:eastAsia="ru-RU"/>
        </w:rPr>
        <w:t xml:space="preserve"> </w:t>
      </w:r>
      <w:r w:rsidRPr="0074415E">
        <w:rPr>
          <w:rFonts w:ascii="Times New Roman" w:eastAsia="Times New Roman" w:hAnsi="Times New Roman"/>
          <w:lang w:eastAsia="ru-RU"/>
        </w:rPr>
        <w:t>определяется Расч</w:t>
      </w:r>
      <w:r w:rsidR="00576C4E">
        <w:rPr>
          <w:rFonts w:ascii="Times New Roman" w:eastAsia="Times New Roman" w:hAnsi="Times New Roman"/>
          <w:lang w:eastAsia="ru-RU"/>
        </w:rPr>
        <w:t>е</w:t>
      </w:r>
      <w:r w:rsidRPr="0074415E">
        <w:rPr>
          <w:rFonts w:ascii="Times New Roman" w:eastAsia="Times New Roman" w:hAnsi="Times New Roman"/>
          <w:lang w:eastAsia="ru-RU"/>
        </w:rPr>
        <w:t xml:space="preserve">тным агентом способом, определенным </w:t>
      </w:r>
      <w:r w:rsidR="00651178">
        <w:rPr>
          <w:rFonts w:ascii="Times New Roman" w:eastAsia="Times New Roman" w:hAnsi="Times New Roman"/>
          <w:lang w:eastAsia="ru-RU"/>
        </w:rPr>
        <w:t>ниже</w:t>
      </w:r>
      <w:r w:rsidR="00DD43F7">
        <w:rPr>
          <w:rFonts w:ascii="Times New Roman" w:eastAsia="Times New Roman" w:hAnsi="Times New Roman"/>
          <w:szCs w:val="24"/>
          <w:lang w:eastAsia="ru-RU"/>
        </w:rPr>
        <w:t>,</w:t>
      </w:r>
      <w:r w:rsidR="00073659">
        <w:rPr>
          <w:rFonts w:ascii="Times New Roman" w:eastAsia="Times New Roman" w:hAnsi="Times New Roman"/>
          <w:szCs w:val="24"/>
          <w:lang w:eastAsia="ru-RU"/>
        </w:rPr>
        <w:t xml:space="preserve"> если иной способ не определен в Решении о ключевых условиях,</w:t>
      </w:r>
      <w:r w:rsidR="00DD43F7">
        <w:rPr>
          <w:rFonts w:ascii="Times New Roman" w:eastAsia="Times New Roman" w:hAnsi="Times New Roman"/>
          <w:szCs w:val="24"/>
          <w:lang w:eastAsia="ru-RU"/>
        </w:rPr>
        <w:t xml:space="preserve"> при этом при погашении Облигаций </w:t>
      </w:r>
      <w:r w:rsidR="00465CE6">
        <w:rPr>
          <w:rFonts w:ascii="Times New Roman" w:eastAsia="Times New Roman" w:hAnsi="Times New Roman"/>
          <w:szCs w:val="24"/>
          <w:lang w:eastAsia="ru-RU"/>
        </w:rPr>
        <w:t xml:space="preserve">в любом случае </w:t>
      </w:r>
      <w:r w:rsidR="00DD43F7">
        <w:rPr>
          <w:rFonts w:ascii="Times New Roman" w:eastAsia="Times New Roman" w:hAnsi="Times New Roman"/>
          <w:szCs w:val="24"/>
          <w:lang w:eastAsia="ru-RU"/>
        </w:rPr>
        <w:t xml:space="preserve">выплачивается также </w:t>
      </w:r>
      <w:r w:rsidR="00DD43F7" w:rsidRPr="00AB333A">
        <w:rPr>
          <w:rFonts w:asciiTheme="majorBidi" w:eastAsia="Times New Roman" w:hAnsiTheme="majorBidi" w:cstheme="majorBidi"/>
          <w:szCs w:val="24"/>
          <w:lang w:eastAsia="ru-RU"/>
        </w:rPr>
        <w:t>купонн</w:t>
      </w:r>
      <w:r w:rsidR="00DD43F7">
        <w:rPr>
          <w:rFonts w:asciiTheme="majorBidi" w:eastAsia="Times New Roman" w:hAnsiTheme="majorBidi" w:cstheme="majorBidi"/>
          <w:szCs w:val="24"/>
          <w:lang w:eastAsia="ru-RU"/>
        </w:rPr>
        <w:t>ый</w:t>
      </w:r>
      <w:r w:rsidR="00DD43F7" w:rsidRPr="00AB333A">
        <w:rPr>
          <w:rFonts w:asciiTheme="majorBidi" w:eastAsia="Times New Roman" w:hAnsiTheme="majorBidi" w:cstheme="majorBidi"/>
          <w:szCs w:val="24"/>
          <w:lang w:eastAsia="ru-RU"/>
        </w:rPr>
        <w:t xml:space="preserve"> доход по Облигациям,</w:t>
      </w:r>
      <w:r w:rsidR="00DD43F7" w:rsidRPr="0074415E">
        <w:rPr>
          <w:rFonts w:ascii="Times New Roman" w:eastAsia="Times New Roman" w:hAnsi="Times New Roman"/>
          <w:szCs w:val="24"/>
          <w:lang w:eastAsia="ru-RU"/>
        </w:rPr>
        <w:t xml:space="preserve"> рассчитанн</w:t>
      </w:r>
      <w:r w:rsidR="00DD43F7">
        <w:rPr>
          <w:rFonts w:ascii="Times New Roman" w:eastAsia="Times New Roman" w:hAnsi="Times New Roman"/>
          <w:szCs w:val="24"/>
          <w:lang w:eastAsia="ru-RU"/>
        </w:rPr>
        <w:t>ый</w:t>
      </w:r>
      <w:r w:rsidR="00DD43F7" w:rsidRPr="0074415E">
        <w:rPr>
          <w:rFonts w:ascii="Times New Roman" w:eastAsia="Times New Roman" w:hAnsi="Times New Roman"/>
          <w:szCs w:val="24"/>
          <w:lang w:eastAsia="ru-RU"/>
        </w:rPr>
        <w:t xml:space="preserve"> в соответствии</w:t>
      </w:r>
      <w:r w:rsidR="00DD43F7" w:rsidRPr="00FA6BBF">
        <w:rPr>
          <w:rFonts w:ascii="Times New Roman" w:eastAsia="Times New Roman" w:hAnsi="Times New Roman"/>
          <w:szCs w:val="24"/>
          <w:lang w:eastAsia="ru-RU"/>
        </w:rPr>
        <w:t xml:space="preserve"> с </w:t>
      </w:r>
      <w:r w:rsidR="00DD43F7" w:rsidRPr="004C6F4E">
        <w:rPr>
          <w:rFonts w:ascii="Times New Roman" w:eastAsia="Times New Roman" w:hAnsi="Times New Roman"/>
          <w:szCs w:val="24"/>
          <w:lang w:eastAsia="ru-RU"/>
        </w:rPr>
        <w:t xml:space="preserve">пунктом </w:t>
      </w:r>
      <w:r w:rsidR="00DD43F7" w:rsidRPr="004C6F4E">
        <w:rPr>
          <w:rFonts w:ascii="Times New Roman" w:hAnsi="Times New Roman"/>
        </w:rPr>
        <w:t>12.1</w:t>
      </w:r>
      <w:r w:rsidR="00DD43F7" w:rsidRPr="004C6F4E">
        <w:rPr>
          <w:rFonts w:ascii="Times New Roman" w:eastAsia="Times New Roman" w:hAnsi="Times New Roman"/>
          <w:szCs w:val="24"/>
          <w:lang w:eastAsia="ru-RU"/>
        </w:rPr>
        <w:t xml:space="preserve"> Решения</w:t>
      </w:r>
      <w:r w:rsidR="00DD43F7"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lastRenderedPageBreak/>
        <w:t>по состоянию на дату окончания купонного периода</w:t>
      </w:r>
      <w:r w:rsidRPr="0074415E">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0508F234"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4B7000F1"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В качестве стоимости одной Облигации используется наибольшая цена одной Облигации, указанная в котировках Дилеров-ориентиров, поступивших в течение 5 (пяти) Рабочих дней с даты запроса.</w:t>
      </w:r>
    </w:p>
    <w:p w14:paraId="4072D598" w14:textId="2CC12A15"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5 (пяти)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437073CB"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 котировках превышает количество Облигаций, находящихся в обращении на момент совершения такого запроса, для целей расчёта считается предоставленной в 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77777777"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Расчётный агент имеет право принять решение о приобретении части (остатка) Облигаций. В таком случае считается, что на приобретение Облигаций 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77777777"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Цена Облигаций: цена, установленная Расчетным агентом по его коммерчески обоснованному и разумному усмотрению, на уровне не ниже, чем наименьшая цена из цен Облигаций в предоставленных котировках Дилеров-ориентиров.</w:t>
      </w:r>
    </w:p>
    <w:p w14:paraId="74EE1B40" w14:textId="1D60D2A2"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Если Расчетный агент не принимает решения о приобретении части</w:t>
      </w:r>
      <w:r w:rsidR="00FB3E03">
        <w:rPr>
          <w:rFonts w:ascii="Times New Roman" w:hAnsi="Times New Roman"/>
        </w:rPr>
        <w:t xml:space="preserve"> (остатка)</w:t>
      </w:r>
      <w:r w:rsidRPr="00465CE6">
        <w:rPr>
          <w:rFonts w:ascii="Times New Roman" w:hAnsi="Times New Roman"/>
        </w:rPr>
        <w:t xml:space="preserve"> Облигаций, то цена остатка Облигаций принимается равной нулю.</w:t>
      </w:r>
    </w:p>
    <w:p w14:paraId="6D986134" w14:textId="77777777" w:rsidR="00073659" w:rsidRPr="00465CE6" w:rsidRDefault="00073659" w:rsidP="00073659">
      <w:pPr>
        <w:tabs>
          <w:tab w:val="left" w:pos="1134"/>
        </w:tabs>
        <w:spacing w:line="240" w:lineRule="auto"/>
        <w:jc w:val="both"/>
        <w:rPr>
          <w:rFonts w:ascii="Times New Roman" w:hAnsi="Times New Roman"/>
        </w:rPr>
      </w:pPr>
      <w:r w:rsidRPr="00465CE6">
        <w:rPr>
          <w:rFonts w:ascii="Times New Roman" w:hAnsi="Times New Roman"/>
        </w:rPr>
        <w:t>Расчётный агент определяет стоимость одной Облигации как средневзвешенное значение между следующими значениями:</w:t>
      </w:r>
    </w:p>
    <w:p w14:paraId="09D60AF2" w14:textId="273FD223" w:rsidR="00073659" w:rsidRPr="00465CE6" w:rsidRDefault="00465CE6" w:rsidP="00E5338E">
      <w:pPr>
        <w:pStyle w:val="ab"/>
        <w:numPr>
          <w:ilvl w:val="0"/>
          <w:numId w:val="36"/>
        </w:numPr>
        <w:tabs>
          <w:tab w:val="left" w:pos="851"/>
        </w:tabs>
        <w:spacing w:after="120" w:line="240" w:lineRule="auto"/>
        <w:ind w:left="426" w:firstLine="0"/>
        <w:contextualSpacing w:val="0"/>
        <w:jc w:val="both"/>
        <w:rPr>
          <w:rFonts w:ascii="Times New Roman" w:hAnsi="Times New Roman"/>
        </w:rPr>
      </w:pPr>
      <w:r>
        <w:rPr>
          <w:rFonts w:ascii="Times New Roman" w:hAnsi="Times New Roman"/>
        </w:rPr>
        <w:t>Ц</w:t>
      </w:r>
      <w:r w:rsidR="00073659" w:rsidRPr="00465CE6">
        <w:rPr>
          <w:rFonts w:ascii="Times New Roman" w:hAnsi="Times New Roman"/>
        </w:rPr>
        <w:t>ена одной Облигации в каждой котировке и в гипотетической оферте, если Расчётный агент принял решение о приобретении части</w:t>
      </w:r>
      <w:r w:rsidR="00FB3E03">
        <w:rPr>
          <w:rFonts w:ascii="Times New Roman" w:hAnsi="Times New Roman"/>
        </w:rPr>
        <w:t xml:space="preserve"> (остатка)</w:t>
      </w:r>
      <w:r w:rsidR="00073659" w:rsidRPr="00465CE6">
        <w:rPr>
          <w:rFonts w:ascii="Times New Roman" w:hAnsi="Times New Roman"/>
        </w:rPr>
        <w:t xml:space="preserve"> Облигаций, для ценных бумаг в отношении которых была предоставлена котировка или гипотетическая оферта, причём в качестве </w:t>
      </w:r>
      <w:r w:rsidR="00073659" w:rsidRPr="00465CE6">
        <w:rPr>
          <w:rFonts w:ascii="Times New Roman" w:hAnsi="Times New Roman"/>
        </w:rPr>
        <w:lastRenderedPageBreak/>
        <w:t xml:space="preserve">коэффициента взвешивания применяется количество ценных бумаг, указанное в соответствующей котировке или гипотетической оферте, </w:t>
      </w:r>
    </w:p>
    <w:p w14:paraId="736E8D8C" w14:textId="77777777" w:rsidR="00073659" w:rsidRPr="00465CE6" w:rsidRDefault="00073659" w:rsidP="00E5338E">
      <w:pPr>
        <w:pStyle w:val="ab"/>
        <w:numPr>
          <w:ilvl w:val="0"/>
          <w:numId w:val="36"/>
        </w:numPr>
        <w:tabs>
          <w:tab w:val="left" w:pos="851"/>
        </w:tabs>
        <w:spacing w:after="200" w:line="240" w:lineRule="auto"/>
        <w:ind w:left="426" w:firstLine="0"/>
        <w:contextualSpacing w:val="0"/>
        <w:jc w:val="both"/>
        <w:rPr>
          <w:rFonts w:ascii="Times New Roman" w:hAnsi="Times New Roman"/>
        </w:rPr>
      </w:pPr>
      <w:r w:rsidRPr="00465CE6">
        <w:rPr>
          <w:rFonts w:ascii="Times New Roman" w:hAnsi="Times New Roman"/>
        </w:rPr>
        <w:t>0 (ноль), причём в качестве коэффициента взвешивания применяется количество Облигаций, находящихся в обращении на момент совершения такого запроса, за вычетом количества ценных бумаг, указанных в котировках.</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r w:rsid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w:t>
      </w:r>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09111D19"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обстоятельств, от наступления или ненаступления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6E16F30B" w14:textId="32A9291D"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вправе определить в Решении о ключевых условиях, что отдельные параметры, которые должны быть </w:t>
      </w:r>
      <w:r>
        <w:rPr>
          <w:rFonts w:ascii="Times New Roman" w:hAnsi="Times New Roman"/>
          <w:szCs w:val="24"/>
        </w:rPr>
        <w:t xml:space="preserve">предоставлены </w:t>
      </w:r>
      <w:r w:rsidRPr="00FA6BBF">
        <w:rPr>
          <w:rFonts w:ascii="Times New Roman" w:hAnsi="Times New Roman"/>
          <w:szCs w:val="24"/>
        </w:rPr>
        <w:t xml:space="preserve">в </w:t>
      </w:r>
      <w:r>
        <w:rPr>
          <w:rFonts w:ascii="Times New Roman" w:hAnsi="Times New Roman"/>
          <w:szCs w:val="24"/>
        </w:rPr>
        <w:t>К</w:t>
      </w:r>
      <w:r w:rsidRPr="00FA6BBF">
        <w:rPr>
          <w:rFonts w:ascii="Times New Roman" w:hAnsi="Times New Roman"/>
          <w:szCs w:val="24"/>
        </w:rPr>
        <w:t>лючевых условиях</w:t>
      </w:r>
      <w:r>
        <w:rPr>
          <w:rFonts w:ascii="Times New Roman" w:hAnsi="Times New Roman"/>
          <w:szCs w:val="24"/>
        </w:rPr>
        <w:t xml:space="preserve"> выпуска</w:t>
      </w:r>
      <w:r w:rsidRPr="00FA6BBF">
        <w:rPr>
          <w:rFonts w:ascii="Times New Roman" w:hAnsi="Times New Roman"/>
          <w:szCs w:val="24"/>
        </w:rPr>
        <w:t xml:space="preserve">, определяются уполномоченным органом </w:t>
      </w:r>
      <w:r w:rsidRPr="00DE109F">
        <w:rPr>
          <w:rFonts w:ascii="Times New Roman" w:hAnsi="Times New Roman"/>
          <w:szCs w:val="24"/>
        </w:rPr>
        <w:t>или уполномоченным должностным лицом</w:t>
      </w:r>
      <w:r w:rsidRPr="00FA6BBF">
        <w:rPr>
          <w:rFonts w:ascii="Times New Roman" w:hAnsi="Times New Roman"/>
          <w:szCs w:val="24"/>
        </w:rPr>
        <w:t xml:space="preserve"> Эмитента и </w:t>
      </w:r>
      <w:r>
        <w:rPr>
          <w:rFonts w:ascii="Times New Roman" w:hAnsi="Times New Roman"/>
          <w:szCs w:val="24"/>
        </w:rPr>
        <w:t xml:space="preserve">предоставляются </w:t>
      </w:r>
      <w:r w:rsidRPr="00FA6BBF">
        <w:rPr>
          <w:rFonts w:ascii="Times New Roman" w:hAnsi="Times New Roman"/>
          <w:szCs w:val="24"/>
        </w:rPr>
        <w:t xml:space="preserve">Эмитентом после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 выпуска</w:t>
      </w:r>
      <w:r w:rsidRPr="00FA6BBF">
        <w:rPr>
          <w:rFonts w:ascii="Times New Roman" w:hAnsi="Times New Roman"/>
          <w:szCs w:val="24"/>
        </w:rPr>
        <w:t>, но до начала размещения</w:t>
      </w:r>
      <w:r>
        <w:rPr>
          <w:rFonts w:ascii="Times New Roman" w:hAnsi="Times New Roman"/>
          <w:szCs w:val="24"/>
        </w:rPr>
        <w:t xml:space="preserve"> Облигаций</w:t>
      </w:r>
      <w:r w:rsidRPr="00FA6BBF">
        <w:rPr>
          <w:rFonts w:ascii="Times New Roman" w:hAnsi="Times New Roman"/>
          <w:szCs w:val="24"/>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4AC14BE9" w14:textId="6871ED6C" w:rsidR="00AA038A" w:rsidRPr="00FA6BBF" w:rsidRDefault="008F6356"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Информация об отдельных параметрах, которые не были определены в Решении о ключевых условиях, </w:t>
      </w:r>
      <w:r>
        <w:rPr>
          <w:rFonts w:ascii="Times New Roman" w:hAnsi="Times New Roman"/>
          <w:szCs w:val="24"/>
        </w:rPr>
        <w:t>предоставляется</w:t>
      </w:r>
      <w:r w:rsidRPr="00FA6BBF">
        <w:rPr>
          <w:rFonts w:ascii="Times New Roman" w:hAnsi="Times New Roman"/>
          <w:szCs w:val="24"/>
        </w:rPr>
        <w:t xml:space="preserve"> в </w:t>
      </w:r>
      <w:r>
        <w:rPr>
          <w:rFonts w:ascii="Times New Roman" w:hAnsi="Times New Roman"/>
          <w:szCs w:val="24"/>
        </w:rPr>
        <w:t>порядке, предусмотренном пунктом 12.5 Решения о выпуске, но в любом случае до начала размещения Облигаций</w:t>
      </w:r>
      <w:r w:rsidRPr="00FA6BBF">
        <w:rPr>
          <w:rFonts w:ascii="Times New Roman" w:hAnsi="Times New Roman"/>
          <w:szCs w:val="24"/>
        </w:rPr>
        <w:t>.</w:t>
      </w:r>
    </w:p>
    <w:p w14:paraId="748A11F1" w14:textId="00929F12"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(решении Эмитента об определении соответствующих параметров)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 xml:space="preserve">выпуска </w:t>
      </w:r>
      <w:r w:rsidRPr="00FA6BBF">
        <w:rPr>
          <w:rFonts w:ascii="Times New Roman" w:hAnsi="Times New Roman"/>
          <w:szCs w:val="24"/>
        </w:rPr>
        <w:t>(сообщении об отдельных параметрах).</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FDF5038" w14:textId="51787F04"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вправе до начала размещения</w:t>
      </w:r>
      <w:r>
        <w:rPr>
          <w:rFonts w:ascii="Times New Roman" w:hAnsi="Times New Roman"/>
          <w:szCs w:val="24"/>
        </w:rPr>
        <w:t xml:space="preserve"> Облигаций</w:t>
      </w:r>
      <w:r w:rsidRPr="00FA6BBF">
        <w:rPr>
          <w:rFonts w:ascii="Times New Roman" w:hAnsi="Times New Roman"/>
          <w:szCs w:val="24"/>
        </w:rPr>
        <w:t xml:space="preserve"> внести изменения в Решение о ключевых условиях и решения Эмитента об определении отдельных параметров, которые ранее не были определены в Решении о ключевых условиях, решением уполномоченного органа </w:t>
      </w:r>
      <w:r w:rsidRPr="00146171">
        <w:rPr>
          <w:rFonts w:ascii="Times New Roman" w:hAnsi="Times New Roman"/>
          <w:szCs w:val="24"/>
        </w:rPr>
        <w:t>или уполномоченного должностного лица</w:t>
      </w:r>
      <w:r w:rsidRPr="00FA6BBF">
        <w:rPr>
          <w:rFonts w:ascii="Times New Roman" w:hAnsi="Times New Roman"/>
          <w:szCs w:val="24"/>
        </w:rPr>
        <w:t xml:space="preserve"> Эмитента. </w:t>
      </w:r>
    </w:p>
    <w:p w14:paraId="65157658" w14:textId="37FFA3CE" w:rsidR="00AA038A" w:rsidRPr="00FA6BBF" w:rsidRDefault="000C3BCC" w:rsidP="00AA038A">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обязан </w:t>
      </w:r>
      <w:r>
        <w:rPr>
          <w:rFonts w:ascii="Times New Roman" w:hAnsi="Times New Roman"/>
          <w:szCs w:val="24"/>
        </w:rPr>
        <w:t>предоставлять</w:t>
      </w:r>
      <w:r w:rsidRPr="00FA6BBF">
        <w:rPr>
          <w:rFonts w:ascii="Times New Roman" w:hAnsi="Times New Roman"/>
          <w:szCs w:val="24"/>
        </w:rPr>
        <w:t xml:space="preserve"> информацию об изменениях в Решение о ключевых условиях и решения об определении отдельных параметров, которые не были определены в Решении о ключевых условиях, </w:t>
      </w:r>
      <w:r>
        <w:rPr>
          <w:rFonts w:ascii="Times New Roman" w:hAnsi="Times New Roman"/>
          <w:szCs w:val="24"/>
        </w:rPr>
        <w:t xml:space="preserve">путем предоставления измененных Ключевых условий выпуска владельцам Облигаций </w:t>
      </w:r>
      <w:r w:rsidRPr="00FA6BBF">
        <w:rPr>
          <w:rFonts w:ascii="Times New Roman" w:hAnsi="Times New Roman"/>
          <w:szCs w:val="24"/>
        </w:rPr>
        <w:t xml:space="preserve">не позднее 1 (одного) дня со дня внесения изменений в соответствующее решение, но в любом случае до начала </w:t>
      </w:r>
      <w:r w:rsidRPr="00FA6BBF">
        <w:rPr>
          <w:rFonts w:ascii="Times New Roman" w:hAnsi="Times New Roman"/>
          <w:szCs w:val="24"/>
        </w:rPr>
        <w:lastRenderedPageBreak/>
        <w:t>размещения Облигаций.</w:t>
      </w:r>
      <w:r w:rsidR="00AA038A" w:rsidRPr="00FA6BBF">
        <w:rPr>
          <w:rFonts w:ascii="Times New Roman" w:hAnsi="Times New Roman"/>
          <w:szCs w:val="24"/>
        </w:rPr>
        <w:t xml:space="preserve"> </w:t>
      </w:r>
    </w:p>
    <w:p w14:paraId="6EF5FDCF" w14:textId="72C18DA3"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 xml:space="preserve">выпуска </w:t>
      </w:r>
      <w:r w:rsidRPr="00FA6BBF">
        <w:rPr>
          <w:rFonts w:ascii="Times New Roman" w:hAnsi="Times New Roman"/>
          <w:szCs w:val="24"/>
        </w:rPr>
        <w:t>и сведений об отдельных параметрах, которые не были определены в Решении о ключевых условиях, в порядке, указанном в настоящем пункте выше.</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зависят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где</w:t>
      </w:r>
    </w:p>
    <w:p w14:paraId="123B7BE9" w14:textId="0F7D1E49"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на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Nom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ненаступления которых осуществляется либо не </w:t>
      </w:r>
      <w:r w:rsidRPr="00FA6BBF">
        <w:rPr>
          <w:rFonts w:ascii="Times New Roman" w:eastAsia="Times New Roman" w:hAnsi="Times New Roman"/>
          <w:szCs w:val="24"/>
          <w:lang w:eastAsia="ru-RU"/>
        </w:rPr>
        <w:lastRenderedPageBreak/>
        <w:t>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недостижение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ненаступления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недостижении</w:t>
      </w:r>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о факте наступления или ненаступления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lastRenderedPageBreak/>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34222FBE"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достижения или недостижения</w:t>
      </w:r>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а также от прочих обстоятельств, установленных Решением о ключевых условиях. В случае установления условий о выплате второго дополнительного дохода в зависимости от достижения или недостижения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65DE71AD"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Изменение источника Референсного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определению дисконтного дохода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lastRenderedPageBreak/>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6C0C6C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247CBF" w:rsidRPr="00247CBF">
        <w:rPr>
          <w:rFonts w:ascii="Times New Roman" w:eastAsia="Times New Roman" w:hAnsi="Times New Roman"/>
          <w:szCs w:val="24"/>
          <w:lang w:eastAsia="ru-RU"/>
        </w:rPr>
        <w:t>дополнитель</w:t>
      </w:r>
      <w:r w:rsidR="00962F20">
        <w:rPr>
          <w:rFonts w:ascii="Times New Roman" w:eastAsia="Times New Roman" w:hAnsi="Times New Roman"/>
          <w:szCs w:val="24"/>
          <w:lang w:eastAsia="ru-RU"/>
        </w:rPr>
        <w:t xml:space="preserve">ного </w:t>
      </w:r>
      <w:r w:rsidRPr="00C66504">
        <w:rPr>
          <w:rFonts w:ascii="Times New Roman" w:eastAsia="Times New Roman" w:hAnsi="Times New Roman"/>
          <w:szCs w:val="24"/>
          <w:lang w:eastAsia="ru-RU"/>
        </w:rPr>
        <w:t>дохода 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4) при наличии представителя владельцев Облигаций, неопределение Эмитентом в течение 60 (шестидесяти) дней со дня наступления обстоятельств, указанных в п.1 ст. 29.4 Закона о рынке ценных бумаг, нового представителя владельцев Облигаций взамен ранее определенного Эмитентом представителя владельцев Облигаций.</w:t>
      </w:r>
    </w:p>
    <w:p w14:paraId="485C1EC5"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делистинг Облигаций в связи с нарушением Эмитентом требований по раскрытию информации, установленных Законом о рынке ценных бумаг и (или) правилами организатора торговли, в т.ч. Биржи. </w:t>
      </w:r>
    </w:p>
    <w:p w14:paraId="11154C87"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рынке ценных бумаг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384EBCA9"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сумма выплаты на одну Облигацию в рублях, определенная Расчетным агентом способом, установленным в пункте 5.3.1 Решения о выпуске, без учета накопленного купонного дохода. При этом для целей настоящей формулы под датой погашения, упоминаемой в пункте 5.3.1 Решения о выпуске, понимается 7</w:t>
      </w:r>
      <w:r w:rsidRPr="007A4273">
        <w:rPr>
          <w:rFonts w:ascii="Times New Roman" w:eastAsia="Times New Roman" w:hAnsi="Times New Roman"/>
          <w:bCs/>
          <w:iCs/>
          <w:szCs w:val="24"/>
          <w:lang w:eastAsia="ru-RU"/>
        </w:rPr>
        <w:noBreakHyphen/>
        <w:t>й Рабочий день с даты предъявления Требования о погашении. Для целей настоящей формулы датой оценки и Предельной датой оценки, упоминаемой в пункте 5.3.1 Решения о выпуске, считается 2-й (второй) Рабочий день со дня предъявления Требования о погашении.</w:t>
      </w:r>
    </w:p>
    <w:p w14:paraId="3FA86A66"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Московской биржей по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Московской биржи 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Дата погашения Облигаций, определяемая Эмитентом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8259461"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p>
    <w:p w14:paraId="34BA3D2F" w14:textId="6D75A4AD"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При досрочном погашении Облигаций по требованию их владельцев дополнительный доход 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lastRenderedPageBreak/>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блигаций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w:t>
      </w:r>
      <w:r w:rsidRPr="00FA6BBF">
        <w:rPr>
          <w:rFonts w:ascii="Times New Roman" w:eastAsia="Times New Roman" w:hAnsi="Times New Roman"/>
          <w:szCs w:val="24"/>
          <w:lang w:eastAsia="ru-RU"/>
        </w:rPr>
        <w:lastRenderedPageBreak/>
        <w:t xml:space="preserve">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69600A90" w:rsidR="003359A5" w:rsidRPr="00697B8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Д</w:t>
      </w:r>
      <w:r w:rsidRPr="00697B85">
        <w:rPr>
          <w:rFonts w:ascii="Times New Roman" w:eastAsia="Times New Roman" w:hAnsi="Times New Roman"/>
          <w:bCs/>
          <w:iCs/>
          <w:szCs w:val="24"/>
          <w:lang w:eastAsia="ru-RU"/>
        </w:rPr>
        <w:t>ата досрочного погашения</w:t>
      </w:r>
      <w:r w:rsidR="005C0C38">
        <w:rPr>
          <w:rFonts w:ascii="Times New Roman" w:eastAsia="Times New Roman" w:hAnsi="Times New Roman"/>
          <w:bCs/>
          <w:iCs/>
          <w:szCs w:val="24"/>
          <w:lang w:eastAsia="ru-RU"/>
        </w:rPr>
        <w:t xml:space="preserve"> Облигаций</w:t>
      </w:r>
      <w:r w:rsidRPr="00697B85">
        <w:rPr>
          <w:rFonts w:ascii="Times New Roman" w:eastAsia="Times New Roman" w:hAnsi="Times New Roman"/>
          <w:bCs/>
          <w:iCs/>
          <w:szCs w:val="24"/>
          <w:lang w:eastAsia="ru-RU"/>
        </w:rPr>
        <w:t xml:space="preserve"> в таком случае </w:t>
      </w:r>
      <w:r w:rsidR="001A1D46">
        <w:rPr>
          <w:rFonts w:ascii="Times New Roman" w:eastAsia="Times New Roman" w:hAnsi="Times New Roman"/>
          <w:bCs/>
          <w:iCs/>
          <w:szCs w:val="24"/>
          <w:lang w:eastAsia="ru-RU"/>
        </w:rPr>
        <w:t>или порядок ее определения устанавливается</w:t>
      </w:r>
      <w:r w:rsidR="007962B6">
        <w:rPr>
          <w:rFonts w:ascii="Times New Roman" w:eastAsia="Times New Roman" w:hAnsi="Times New Roman"/>
          <w:bCs/>
          <w:iCs/>
          <w:szCs w:val="24"/>
          <w:lang w:eastAsia="ru-RU"/>
        </w:rPr>
        <w:t xml:space="preserve"> в Решении о ключевых условиях,</w:t>
      </w:r>
      <w:r w:rsidR="00A52679">
        <w:rPr>
          <w:rFonts w:ascii="Times New Roman" w:eastAsia="Times New Roman" w:hAnsi="Times New Roman"/>
          <w:bCs/>
          <w:iCs/>
          <w:szCs w:val="24"/>
          <w:lang w:eastAsia="ru-RU"/>
        </w:rPr>
        <w:t xml:space="preserve"> </w:t>
      </w:r>
      <w:r w:rsidR="001A1D46">
        <w:rPr>
          <w:rFonts w:ascii="Times New Roman" w:eastAsia="Times New Roman" w:hAnsi="Times New Roman"/>
          <w:bCs/>
          <w:iCs/>
          <w:szCs w:val="24"/>
          <w:lang w:eastAsia="ru-RU"/>
        </w:rPr>
        <w:t>при этом</w:t>
      </w:r>
      <w:r w:rsidR="00A52679">
        <w:rPr>
          <w:rFonts w:ascii="Times New Roman" w:eastAsia="Times New Roman" w:hAnsi="Times New Roman"/>
          <w:bCs/>
          <w:iCs/>
          <w:szCs w:val="24"/>
          <w:lang w:eastAsia="ru-RU"/>
        </w:rPr>
        <w:t xml:space="preserve"> если</w:t>
      </w:r>
      <w:r w:rsidR="00F21EB6">
        <w:rPr>
          <w:rFonts w:ascii="Times New Roman" w:eastAsia="Times New Roman" w:hAnsi="Times New Roman"/>
          <w:bCs/>
          <w:iCs/>
          <w:szCs w:val="24"/>
          <w:lang w:eastAsia="ru-RU"/>
        </w:rPr>
        <w:t xml:space="preserve"> в день, наступающий</w:t>
      </w:r>
      <w:r w:rsidR="00A52679">
        <w:rPr>
          <w:rFonts w:ascii="Times New Roman" w:eastAsia="Times New Roman" w:hAnsi="Times New Roman"/>
          <w:bCs/>
          <w:iCs/>
          <w:szCs w:val="24"/>
          <w:lang w:eastAsia="ru-RU"/>
        </w:rPr>
        <w:t xml:space="preserve"> </w:t>
      </w:r>
      <w:r w:rsidR="000A6EB4">
        <w:rPr>
          <w:rFonts w:ascii="Times New Roman" w:eastAsia="Times New Roman" w:hAnsi="Times New Roman"/>
          <w:bCs/>
          <w:iCs/>
          <w:szCs w:val="24"/>
          <w:lang w:eastAsia="ru-RU"/>
        </w:rPr>
        <w:t xml:space="preserve">за 2 (два) Рабочих дня </w:t>
      </w:r>
      <w:r w:rsidR="00A52679">
        <w:rPr>
          <w:rFonts w:ascii="Times New Roman" w:eastAsia="Times New Roman" w:hAnsi="Times New Roman"/>
          <w:bCs/>
          <w:iCs/>
          <w:szCs w:val="24"/>
          <w:lang w:eastAsia="ru-RU"/>
        </w:rPr>
        <w:t>до даты досрочного погашения</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наступило Событие дестабилизации, </w:t>
      </w:r>
      <w:r w:rsidR="001A1D46">
        <w:rPr>
          <w:rFonts w:ascii="Times New Roman" w:eastAsia="Times New Roman" w:hAnsi="Times New Roman"/>
          <w:bCs/>
          <w:iCs/>
          <w:szCs w:val="24"/>
          <w:lang w:eastAsia="ru-RU"/>
        </w:rPr>
        <w:t>досрочное погашение Облигаций производится в 30</w:t>
      </w:r>
      <w:r w:rsidR="00A52679" w:rsidRPr="007A43A7">
        <w:rPr>
          <w:rFonts w:ascii="Times New Roman" w:eastAsia="Times New Roman" w:hAnsi="Times New Roman"/>
          <w:bCs/>
          <w:iCs/>
          <w:szCs w:val="24"/>
          <w:lang w:eastAsia="ru-RU"/>
        </w:rPr>
        <w:t>-ый Рабочий день, следующий за датой наступления События дестабилизации</w:t>
      </w:r>
      <w:r w:rsidRPr="00697B85">
        <w:rPr>
          <w:rFonts w:ascii="Times New Roman" w:eastAsia="Times New Roman" w:hAnsi="Times New Roman"/>
          <w:bCs/>
          <w:iCs/>
          <w:szCs w:val="24"/>
          <w:lang w:eastAsia="ru-RU"/>
        </w:rPr>
        <w:t xml:space="preserve">. </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lastRenderedPageBreak/>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30663A97" w14:textId="4E86A4AC" w:rsidR="003359A5" w:rsidRPr="007A43A7" w:rsidRDefault="003359A5" w:rsidP="00E362C4">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723413" w:rsidRPr="00723413">
        <w:rPr>
          <w:rFonts w:ascii="Times New Roman" w:eastAsia="Times New Roman" w:hAnsi="Times New Roman"/>
          <w:bCs/>
          <w:iCs/>
          <w:szCs w:val="24"/>
          <w:lang w:eastAsia="ru-RU"/>
        </w:rPr>
        <w:t xml:space="preserve"> </w:t>
      </w:r>
      <w:r w:rsidR="00723413">
        <w:rPr>
          <w:rFonts w:ascii="Times New Roman" w:eastAsia="Times New Roman" w:hAnsi="Times New Roman"/>
          <w:bCs/>
          <w:iCs/>
          <w:szCs w:val="24"/>
          <w:lang w:eastAsia="ru-RU"/>
        </w:rPr>
        <w:t xml:space="preserve">в пункте 5.3.1 Решения о выпуске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723413">
        <w:rPr>
          <w:rFonts w:ascii="Times New Roman" w:eastAsia="Times New Roman" w:hAnsi="Times New Roman"/>
          <w:bCs/>
          <w:iCs/>
          <w:szCs w:val="24"/>
          <w:lang w:eastAsia="ru-RU"/>
        </w:rPr>
        <w:t>, если иной способ не определен</w:t>
      </w:r>
      <w:r w:rsidRPr="007A43A7">
        <w:rPr>
          <w:rFonts w:ascii="Times New Roman" w:eastAsia="Times New Roman" w:hAnsi="Times New Roman"/>
          <w:bCs/>
          <w:iCs/>
          <w:szCs w:val="24"/>
          <w:lang w:eastAsia="ru-RU"/>
        </w:rPr>
        <w:t xml:space="preserve"> в Решении о ключевых условиях.</w:t>
      </w:r>
      <w:r w:rsidR="006F3B03">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6F3B03" w:rsidRPr="009C464C">
        <w:rPr>
          <w:rFonts w:ascii="Times New Roman" w:eastAsia="Times New Roman" w:hAnsi="Times New Roman"/>
          <w:bCs/>
          <w:iCs/>
          <w:szCs w:val="24"/>
          <w:lang w:eastAsia="ru-RU"/>
        </w:rPr>
        <w:t>накопленн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купонн</w:t>
      </w:r>
      <w:r w:rsidR="006F3B03">
        <w:rPr>
          <w:rFonts w:ascii="Times New Roman" w:eastAsia="Times New Roman" w:hAnsi="Times New Roman"/>
          <w:bCs/>
          <w:iCs/>
          <w:szCs w:val="24"/>
          <w:lang w:eastAsia="ru-RU"/>
        </w:rPr>
        <w:t>ый</w:t>
      </w:r>
      <w:r w:rsidR="006F3B03" w:rsidRPr="009C464C">
        <w:rPr>
          <w:rFonts w:ascii="Times New Roman" w:eastAsia="Times New Roman" w:hAnsi="Times New Roman"/>
          <w:bCs/>
          <w:iCs/>
          <w:szCs w:val="24"/>
          <w:lang w:eastAsia="ru-RU"/>
        </w:rPr>
        <w:t xml:space="preserve"> доход, который рассчитывается в соответствии с </w:t>
      </w:r>
      <w:r w:rsidR="006F3B03" w:rsidRPr="00C642AE">
        <w:rPr>
          <w:rFonts w:ascii="Times New Roman" w:eastAsia="Times New Roman" w:hAnsi="Times New Roman"/>
          <w:bCs/>
          <w:iCs/>
          <w:szCs w:val="24"/>
          <w:lang w:eastAsia="ru-RU"/>
        </w:rPr>
        <w:t>пунктом 12.1 Решения о выпуске</w:t>
      </w:r>
      <w:r w:rsidR="006F3B03">
        <w:rPr>
          <w:rFonts w:ascii="Times New Roman" w:eastAsia="Times New Roman" w:hAnsi="Times New Roman"/>
          <w:bCs/>
          <w:iCs/>
          <w:szCs w:val="24"/>
          <w:lang w:eastAsia="ru-RU"/>
        </w:rPr>
        <w:t xml:space="preserve"> по состоянию на дату досрочного погашения Облигаций.</w:t>
      </w:r>
    </w:p>
    <w:p w14:paraId="5CE283DA" w14:textId="2F64618C" w:rsidR="003359A5" w:rsidRPr="007A43A7"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в случае наступления любого События дестабилизации. Досрочное погашение осуществляется в 30-ый Рабочий день, следующий за датой наступления События дестабилизации. Размер выплат при досрочном погашении Облигаций после наступления События дестабилизации определяется Расч</w:t>
      </w:r>
      <w:r w:rsidR="00576C4E">
        <w:rPr>
          <w:rFonts w:ascii="Times New Roman" w:eastAsia="Times New Roman" w:hAnsi="Times New Roman"/>
          <w:bCs/>
          <w:iCs/>
          <w:szCs w:val="24"/>
          <w:lang w:eastAsia="ru-RU"/>
        </w:rPr>
        <w:t>е</w:t>
      </w:r>
      <w:r w:rsidRPr="007A43A7">
        <w:rPr>
          <w:rFonts w:ascii="Times New Roman" w:eastAsia="Times New Roman" w:hAnsi="Times New Roman"/>
          <w:bCs/>
          <w:iCs/>
          <w:szCs w:val="24"/>
          <w:lang w:eastAsia="ru-RU"/>
        </w:rPr>
        <w:t>тным агентом способом, определенным</w:t>
      </w:r>
      <w:r w:rsidR="00292B53">
        <w:rPr>
          <w:rFonts w:ascii="Times New Roman" w:eastAsia="Times New Roman" w:hAnsi="Times New Roman"/>
          <w:bCs/>
          <w:iCs/>
          <w:szCs w:val="24"/>
          <w:lang w:eastAsia="ru-RU"/>
        </w:rPr>
        <w:t xml:space="preserve"> в пункте 5.3.1 Решения о выпуске</w:t>
      </w:r>
      <w:r w:rsidR="00723413">
        <w:rPr>
          <w:rFonts w:ascii="Times New Roman" w:eastAsia="Times New Roman" w:hAnsi="Times New Roman"/>
          <w:bCs/>
          <w:iCs/>
          <w:szCs w:val="24"/>
          <w:lang w:eastAsia="ru-RU"/>
        </w:rPr>
        <w:t xml:space="preserve"> для случаев </w:t>
      </w:r>
      <w:r w:rsidR="00723413" w:rsidRPr="00465CE6">
        <w:rPr>
          <w:rFonts w:ascii="Times New Roman" w:hAnsi="Times New Roman"/>
        </w:rPr>
        <w:t>погашени</w:t>
      </w:r>
      <w:r w:rsidR="00723413">
        <w:rPr>
          <w:rFonts w:ascii="Times New Roman" w:hAnsi="Times New Roman"/>
        </w:rPr>
        <w:t>я</w:t>
      </w:r>
      <w:r w:rsidR="00723413" w:rsidRPr="00465CE6">
        <w:rPr>
          <w:rFonts w:ascii="Times New Roman" w:hAnsi="Times New Roman"/>
        </w:rPr>
        <w:t xml:space="preserve"> Облигаций </w:t>
      </w:r>
      <w:r w:rsidR="00723413">
        <w:rPr>
          <w:rFonts w:ascii="Times New Roman" w:hAnsi="Times New Roman"/>
        </w:rPr>
        <w:t>после наступления События дестабилизации</w:t>
      </w:r>
      <w:r w:rsidR="00292B53">
        <w:rPr>
          <w:rFonts w:ascii="Times New Roman" w:eastAsia="Times New Roman" w:hAnsi="Times New Roman"/>
          <w:bCs/>
          <w:iCs/>
          <w:szCs w:val="24"/>
          <w:lang w:eastAsia="ru-RU"/>
        </w:rPr>
        <w:t>,</w:t>
      </w:r>
      <w:r w:rsidR="00723413">
        <w:rPr>
          <w:rFonts w:ascii="Times New Roman" w:eastAsia="Times New Roman" w:hAnsi="Times New Roman"/>
          <w:bCs/>
          <w:iCs/>
          <w:szCs w:val="24"/>
          <w:lang w:eastAsia="ru-RU"/>
        </w:rPr>
        <w:t xml:space="preserve"> если иной способ не определен</w:t>
      </w:r>
      <w:r w:rsidR="00292B53">
        <w:rPr>
          <w:rFonts w:ascii="Times New Roman" w:hAnsi="Times New Roman"/>
        </w:rPr>
        <w:t xml:space="preserve"> </w:t>
      </w:r>
      <w:r w:rsidRPr="007A43A7">
        <w:rPr>
          <w:rFonts w:ascii="Times New Roman" w:eastAsia="Times New Roman" w:hAnsi="Times New Roman"/>
          <w:bCs/>
          <w:iCs/>
          <w:szCs w:val="24"/>
          <w:lang w:eastAsia="ru-RU"/>
        </w:rPr>
        <w:t>в Решении о ключевых условиях.</w:t>
      </w:r>
      <w:r w:rsidR="008D16F9">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w:t>
      </w:r>
      <w:r w:rsidR="008D16F9" w:rsidRPr="009C464C">
        <w:rPr>
          <w:rFonts w:ascii="Times New Roman" w:eastAsia="Times New Roman" w:hAnsi="Times New Roman"/>
          <w:bCs/>
          <w:iCs/>
          <w:szCs w:val="24"/>
          <w:lang w:eastAsia="ru-RU"/>
        </w:rPr>
        <w:t>накопленн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купонн</w:t>
      </w:r>
      <w:r w:rsidR="008D16F9">
        <w:rPr>
          <w:rFonts w:ascii="Times New Roman" w:eastAsia="Times New Roman" w:hAnsi="Times New Roman"/>
          <w:bCs/>
          <w:iCs/>
          <w:szCs w:val="24"/>
          <w:lang w:eastAsia="ru-RU"/>
        </w:rPr>
        <w:t>ый</w:t>
      </w:r>
      <w:r w:rsidR="008D16F9" w:rsidRPr="009C464C">
        <w:rPr>
          <w:rFonts w:ascii="Times New Roman" w:eastAsia="Times New Roman" w:hAnsi="Times New Roman"/>
          <w:bCs/>
          <w:iCs/>
          <w:szCs w:val="24"/>
          <w:lang w:eastAsia="ru-RU"/>
        </w:rPr>
        <w:t xml:space="preserve"> доход, который рассчитывается в соответствии с </w:t>
      </w:r>
      <w:r w:rsidR="008D16F9" w:rsidRPr="00C642AE">
        <w:rPr>
          <w:rFonts w:ascii="Times New Roman" w:eastAsia="Times New Roman" w:hAnsi="Times New Roman"/>
          <w:bCs/>
          <w:iCs/>
          <w:szCs w:val="24"/>
          <w:lang w:eastAsia="ru-RU"/>
        </w:rPr>
        <w:t>пунктом 12.1 Решения о выпуске</w:t>
      </w:r>
      <w:r w:rsidR="008D16F9">
        <w:rPr>
          <w:rFonts w:ascii="Times New Roman" w:eastAsia="Times New Roman" w:hAnsi="Times New Roman"/>
          <w:bCs/>
          <w:iCs/>
          <w:szCs w:val="24"/>
          <w:lang w:eastAsia="ru-RU"/>
        </w:rPr>
        <w:t xml:space="preserve"> по состоянию на дату досрочного погашения Облигаций.</w:t>
      </w:r>
      <w:r w:rsidR="00DA7C92">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не выплачивается.</w:t>
      </w:r>
    </w:p>
    <w:p w14:paraId="5D0F1412" w14:textId="48A07A9B"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погашения Облигаций наступают </w:t>
      </w:r>
      <w:r w:rsidR="00927BA7">
        <w:rPr>
          <w:rFonts w:ascii="Times New Roman" w:eastAsiaTheme="minorEastAsia" w:hAnsi="Times New Roman"/>
          <w:lang w:eastAsia="ru-RU"/>
        </w:rPr>
        <w:t>события Изменения источника Референсного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r w:rsidRPr="00FA6BBF">
        <w:rPr>
          <w:rFonts w:ascii="Times New Roman" w:eastAsia="Times New Roman" w:hAnsi="Times New Roman"/>
          <w:szCs w:val="24"/>
          <w:lang w:eastAsia="ru-RU"/>
        </w:rPr>
        <w:t>недостижение</w:t>
      </w:r>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являются структурными облигациями по смыслу статьи 27.1-1 Закона о РЦБ, осуществление и размер выплат по Облигациям зависит от наступления или ненаступления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lastRenderedPageBreak/>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3C8AD07A"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публичных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lastRenderedPageBreak/>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24C02F41"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811F56">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lastRenderedPageBreak/>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Nom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Nom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Изменения источника Референсного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F3C8EA5"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Референсного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с учитывать коммерческие особенности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насколько это возможно, осуществлять корректировки последовательно и согласованно с другими корректировками Расчетного агента, если в отношении Референсного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корректировки не будут оказывать влияния на значения, которые принимал Референсный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Изменения источника Референсного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Изменения источника Референсного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2F1F99C9"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В случае замены Референсного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Референсного актива производится из числа Альтернативных активов,</w:t>
      </w:r>
      <w:r w:rsidR="002B4756">
        <w:rPr>
          <w:rFonts w:ascii="Times New Roman" w:hAnsi="Times New Roman"/>
          <w:lang w:eastAsia="ru-RU"/>
        </w:rPr>
        <w:t xml:space="preserve"> относящихся к заменяемому Референсному активу,</w:t>
      </w:r>
      <w:r>
        <w:rPr>
          <w:rFonts w:ascii="Times New Roman" w:hAnsi="Times New Roman"/>
          <w:lang w:eastAsia="ru-RU"/>
        </w:rPr>
        <w:t xml:space="preserve"> при этом</w:t>
      </w:r>
      <w:r w:rsidR="002B4756">
        <w:rPr>
          <w:rFonts w:ascii="Times New Roman" w:hAnsi="Times New Roman"/>
          <w:lang w:eastAsia="ru-RU"/>
        </w:rPr>
        <w:t xml:space="preserve">, если в </w:t>
      </w:r>
      <w:r w:rsidR="002B4756">
        <w:rPr>
          <w:rFonts w:ascii="Times New Roman" w:hAnsi="Times New Roman"/>
          <w:lang w:eastAsia="ru-RU"/>
        </w:rPr>
        <w:lastRenderedPageBreak/>
        <w:t>отношении Референсного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не затронут событием Изменения источника Референсного значения</w:t>
      </w:r>
      <w:r w:rsidRPr="009606CA">
        <w:rPr>
          <w:rFonts w:ascii="Times New Roman" w:hAnsi="Times New Roman"/>
          <w:lang w:eastAsia="ru-RU"/>
        </w:rPr>
        <w:t>;</w:t>
      </w:r>
    </w:p>
    <w:p w14:paraId="7B62FC49" w14:textId="5BCF7905" w:rsidR="00117940" w:rsidRDefault="000F0748"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Общий </w:t>
      </w:r>
      <w:r w:rsidR="00117940">
        <w:rPr>
          <w:rFonts w:ascii="Times New Roman" w:hAnsi="Times New Roman"/>
          <w:lang w:eastAsia="ru-RU"/>
        </w:rPr>
        <w:t xml:space="preserve">объем торгов Альтернативным активом в течение 90 (Девяноста) дней до даты </w:t>
      </w:r>
      <w:r w:rsidR="00E87688">
        <w:rPr>
          <w:rFonts w:ascii="Times New Roman" w:hAnsi="Times New Roman"/>
          <w:lang w:eastAsia="ru-RU"/>
        </w:rPr>
        <w:t xml:space="preserve">наступления </w:t>
      </w:r>
      <w:r w:rsidR="00E63028">
        <w:rPr>
          <w:rFonts w:ascii="Times New Roman" w:hAnsi="Times New Roman"/>
          <w:lang w:eastAsia="ru-RU"/>
        </w:rPr>
        <w:t>Изменения источника Референсного значения</w:t>
      </w:r>
      <w:r w:rsidR="00117940">
        <w:rPr>
          <w:rFonts w:ascii="Times New Roman" w:hAnsi="Times New Roman"/>
          <w:lang w:eastAsia="ru-RU"/>
        </w:rPr>
        <w:t xml:space="preserve"> превышает </w:t>
      </w:r>
      <w:r>
        <w:rPr>
          <w:rFonts w:ascii="Times New Roman" w:hAnsi="Times New Roman"/>
          <w:lang w:eastAsia="ru-RU"/>
        </w:rPr>
        <w:t xml:space="preserve">общий </w:t>
      </w:r>
      <w:r w:rsidR="00117940">
        <w:rPr>
          <w:rFonts w:ascii="Times New Roman" w:hAnsi="Times New Roman"/>
          <w:lang w:eastAsia="ru-RU"/>
        </w:rPr>
        <w:t>объем торгов Референсным активом</w:t>
      </w:r>
      <w:r w:rsidR="00CC019D">
        <w:rPr>
          <w:rFonts w:ascii="Times New Roman" w:hAnsi="Times New Roman"/>
          <w:lang w:eastAsia="ru-RU"/>
        </w:rPr>
        <w:t xml:space="preserve"> </w:t>
      </w:r>
      <w:r w:rsidR="00117940">
        <w:rPr>
          <w:rFonts w:ascii="Times New Roman" w:hAnsi="Times New Roman"/>
          <w:lang w:eastAsia="ru-RU"/>
        </w:rPr>
        <w:t>в течение 90 (Девяноста) дней до даты замены Референсного актива, уменьшенный в 5 (Пять) раз</w:t>
      </w:r>
      <w:r w:rsidR="00525495">
        <w:rPr>
          <w:rFonts w:ascii="Times New Roman" w:hAnsi="Times New Roman"/>
          <w:lang w:eastAsia="ru-RU"/>
        </w:rPr>
        <w:t xml:space="preserve">, при этом объемы торгов Альтернативным активом и Референсным активом определяются по данным </w:t>
      </w:r>
      <w:r>
        <w:rPr>
          <w:rFonts w:ascii="Times New Roman" w:hAnsi="Times New Roman"/>
          <w:lang w:eastAsia="ru-RU"/>
        </w:rPr>
        <w:t>Биржи</w:t>
      </w:r>
      <w:r w:rsidR="00117940"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Альтернативный актив является сопоставимым с Референсным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117940">
      <w:pPr>
        <w:autoSpaceDE w:val="0"/>
        <w:autoSpaceDN w:val="0"/>
        <w:spacing w:after="120"/>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Референсного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Референсного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Pr>
          <w:rFonts w:ascii="Times New Roman" w:hAnsi="Times New Roman"/>
          <w:lang w:eastAsia="ru-RU"/>
        </w:rPr>
        <w:t>в</w:t>
      </w:r>
      <w:r w:rsidR="00984DF7">
        <w:rPr>
          <w:rFonts w:ascii="Times New Roman" w:hAnsi="Times New Roman"/>
          <w:lang w:eastAsia="ru-RU"/>
        </w:rPr>
        <w:t>) п</w:t>
      </w:r>
      <w:r w:rsidR="00B251D3">
        <w:rPr>
          <w:rFonts w:ascii="Times New Roman" w:hAnsi="Times New Roman"/>
          <w:lang w:eastAsia="ru-RU"/>
        </w:rPr>
        <w:t>одпункта</w:t>
      </w:r>
      <w:r w:rsidR="00984DF7">
        <w:rPr>
          <w:rFonts w:ascii="Times New Roman" w:hAnsi="Times New Roman"/>
          <w:lang w:eastAsia="ru-RU"/>
        </w:rPr>
        <w:t xml:space="preserve"> 2)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Референсного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определяемой аналогичным образом при использовании в качестве Референсного актива любого из других Альтернативных активов, относящихся к заменяемому Референсному активу</w:t>
      </w:r>
      <w:r w:rsidR="00572B1B" w:rsidRPr="00363364">
        <w:rPr>
          <w:rFonts w:ascii="Times New Roman" w:hAnsi="Times New Roman"/>
          <w:lang w:eastAsia="ru-RU"/>
        </w:rPr>
        <w:t>.</w:t>
      </w:r>
    </w:p>
    <w:p w14:paraId="2842B585" w14:textId="4A0170F3"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Референсного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Референсного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не более, чем на 10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Изменения источника Референсного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Изменения источника Референсного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12.2.1 Принципы определения Референсного актива, Референсного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показателя Референсного актива</w:t>
      </w:r>
      <w:r w:rsidR="008D2FE3" w:rsidRPr="00FC6483">
        <w:rPr>
          <w:rFonts w:ascii="Times New Roman" w:hAnsi="Times New Roman"/>
          <w:lang w:eastAsia="ru-RU"/>
        </w:rPr>
        <w:t>,</w:t>
      </w:r>
      <w:r w:rsidRPr="00FC6483">
        <w:rPr>
          <w:rFonts w:ascii="Times New Roman" w:hAnsi="Times New Roman"/>
          <w:lang w:eastAsia="ru-RU"/>
        </w:rPr>
        <w:t xml:space="preserve"> Референсного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Референсного актива, Референсного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w:t>
      </w:r>
      <w:r w:rsidRPr="00DD08FF">
        <w:rPr>
          <w:rFonts w:ascii="Times New Roman" w:eastAsiaTheme="minorEastAsia" w:hAnsi="Times New Roman"/>
          <w:lang w:eastAsia="ru-RU"/>
        </w:rPr>
        <w:lastRenderedPageBreak/>
        <w:t xml:space="preserve">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r>
        <w:rPr>
          <w:rFonts w:ascii="Times New Roman" w:eastAsiaTheme="minorEastAsia" w:hAnsi="Times New Roman"/>
          <w:lang w:eastAsia="ru-RU"/>
        </w:rPr>
        <w:t>Референсный</w:t>
      </w:r>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показателя Референсного актива, Референсного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1840FA98"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MOEX Dealing – системы обмена сообщениями между участниками межбанковского рынка (Система электронного чата) (далее – «MOEX Dealing»), если доступ Расчетного агента и Дилера-ориентира к MOEX Dealing оформлен в соответствии с Условиями оказания услуг информационно-технического обеспечения Публичного акционерного общества «Московская Биржа ММВБ-РТС» (далее – «ПАО «Московская Биржа»») 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(BS-Client)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w:t>
      </w:r>
      <w:r w:rsidRPr="00FA6BBF">
        <w:rPr>
          <w:rFonts w:ascii="Times New Roman" w:hAnsi="Times New Roman"/>
        </w:rPr>
        <w:lastRenderedPageBreak/>
        <w:t xml:space="preserve">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r w:rsidRPr="00FA6BBF">
        <w:rPr>
          <w:rFonts w:ascii="Times New Roman" w:hAnsi="Times New Roman"/>
        </w:rPr>
        <w:t>Qualified Intermediary</w:t>
      </w:r>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33B75671" w14:textId="72A54BA1" w:rsidR="00447639" w:rsidRPr="007C7DA0" w:rsidRDefault="00447639" w:rsidP="00447639">
      <w:pPr>
        <w:widowControl w:val="0"/>
        <w:autoSpaceDE w:val="0"/>
        <w:autoSpaceDN w:val="0"/>
        <w:adjustRightInd w:val="0"/>
        <w:spacing w:after="120" w:line="240" w:lineRule="auto"/>
        <w:jc w:val="both"/>
        <w:rPr>
          <w:rFonts w:ascii="Times New Roman" w:eastAsiaTheme="minorEastAsia" w:hAnsi="Times New Roman"/>
          <w:lang w:eastAsia="ru-RU"/>
        </w:rPr>
      </w:pPr>
      <w:r w:rsidRPr="007C7DA0">
        <w:rPr>
          <w:rFonts w:ascii="Times New Roman" w:hAnsi="Times New Roman"/>
        </w:rPr>
        <w:t xml:space="preserve">Эмитент обязан по требованию заинтересованного лица предоставить ему копию Решения о выпуске </w:t>
      </w:r>
      <w:r w:rsidRPr="007C7DA0">
        <w:rPr>
          <w:rFonts w:ascii="Times New Roman" w:hAnsi="Times New Roman"/>
          <w:szCs w:val="24"/>
        </w:rPr>
        <w:t xml:space="preserve">и (или) Решения о ключевых условиях </w:t>
      </w:r>
      <w:r w:rsidRPr="007C7DA0">
        <w:rPr>
          <w:rFonts w:ascii="Times New Roman" w:hAnsi="Times New Roman"/>
        </w:rPr>
        <w:t xml:space="preserve">за плату, не превышающую затраты на </w:t>
      </w:r>
      <w:r w:rsidRPr="007C7DA0">
        <w:rPr>
          <w:rFonts w:ascii="Times New Roman" w:hAnsi="Times New Roman"/>
          <w:szCs w:val="24"/>
        </w:rPr>
        <w:t>их</w:t>
      </w:r>
      <w:r w:rsidRPr="007C7DA0">
        <w:rPr>
          <w:rFonts w:ascii="Times New Roman" w:hAnsi="Times New Roman"/>
        </w:rPr>
        <w:t xml:space="preserve"> изготовление.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w:t>
      </w:r>
      <w:r w:rsidRPr="00FA6BBF">
        <w:rPr>
          <w:rFonts w:ascii="Times New Roman" w:eastAsia="Times New Roman" w:hAnsi="Times New Roman"/>
          <w:szCs w:val="24"/>
          <w:lang w:eastAsia="ru-RU"/>
        </w:rPr>
        <w:lastRenderedPageBreak/>
        <w:t xml:space="preserve">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3CBA8BA2" w14:textId="77777777" w:rsidR="009201B0" w:rsidRPr="00DC37EA" w:rsidRDefault="009F1C29" w:rsidP="009201B0">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p w14:paraId="4C0455A8" w14:textId="70C8739A" w:rsidR="00A409EC" w:rsidRPr="00DC37EA" w:rsidRDefault="00A409EC" w:rsidP="009F1C29">
      <w:pPr>
        <w:widowControl w:val="0"/>
        <w:autoSpaceDE w:val="0"/>
        <w:autoSpaceDN w:val="0"/>
        <w:adjustRightInd w:val="0"/>
        <w:spacing w:after="120" w:line="240" w:lineRule="auto"/>
        <w:jc w:val="both"/>
        <w:rPr>
          <w:rFonts w:ascii="Times New Roman" w:eastAsiaTheme="minorEastAsia" w:hAnsi="Times New Roman"/>
          <w:lang w:eastAsia="ru-RU"/>
        </w:rPr>
      </w:pP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60BCC1" w14:textId="77777777" w:rsidR="003B34C5" w:rsidRDefault="003B34C5" w:rsidP="002F794D">
      <w:pPr>
        <w:spacing w:after="0" w:line="240" w:lineRule="auto"/>
      </w:pPr>
      <w:r>
        <w:separator/>
      </w:r>
    </w:p>
  </w:endnote>
  <w:endnote w:type="continuationSeparator" w:id="0">
    <w:p w14:paraId="3077F700" w14:textId="77777777" w:rsidR="003B34C5" w:rsidRDefault="003B34C5" w:rsidP="002F794D">
      <w:pPr>
        <w:spacing w:after="0" w:line="240" w:lineRule="auto"/>
      </w:pPr>
      <w:r>
        <w:continuationSeparator/>
      </w:r>
    </w:p>
  </w:endnote>
  <w:endnote w:type="continuationNotice" w:id="1">
    <w:p w14:paraId="3E691B7C" w14:textId="77777777" w:rsidR="003B34C5" w:rsidRDefault="003B34C5"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6D84CAA2" w:rsidR="003B34C5" w:rsidRPr="00C733B4" w:rsidRDefault="003B34C5"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8131C0">
          <w:rPr>
            <w:rFonts w:ascii="Times New Roman" w:hAnsi="Times New Roman"/>
            <w:noProof/>
          </w:rPr>
          <w:t>13</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B25DB9" w14:textId="77777777" w:rsidR="003B34C5" w:rsidRDefault="003B34C5" w:rsidP="002F794D">
      <w:pPr>
        <w:spacing w:after="0" w:line="240" w:lineRule="auto"/>
      </w:pPr>
      <w:r>
        <w:separator/>
      </w:r>
    </w:p>
  </w:footnote>
  <w:footnote w:type="continuationSeparator" w:id="0">
    <w:p w14:paraId="5F9A6954" w14:textId="77777777" w:rsidR="003B34C5" w:rsidRDefault="003B34C5" w:rsidP="002F794D">
      <w:pPr>
        <w:spacing w:after="0" w:line="240" w:lineRule="auto"/>
      </w:pPr>
      <w:r>
        <w:continuationSeparator/>
      </w:r>
    </w:p>
  </w:footnote>
  <w:footnote w:type="continuationNotice" w:id="1">
    <w:p w14:paraId="20A296C4" w14:textId="77777777" w:rsidR="003B34C5" w:rsidRDefault="003B34C5"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3"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4"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1"/>
  </w:num>
  <w:num w:numId="3">
    <w:abstractNumId w:val="10"/>
  </w:num>
  <w:num w:numId="4">
    <w:abstractNumId w:val="11"/>
  </w:num>
  <w:num w:numId="5">
    <w:abstractNumId w:val="0"/>
  </w:num>
  <w:num w:numId="6">
    <w:abstractNumId w:val="8"/>
  </w:num>
  <w:num w:numId="7">
    <w:abstractNumId w:val="38"/>
  </w:num>
  <w:num w:numId="8">
    <w:abstractNumId w:val="26"/>
  </w:num>
  <w:num w:numId="9">
    <w:abstractNumId w:val="22"/>
  </w:num>
  <w:num w:numId="10">
    <w:abstractNumId w:val="41"/>
  </w:num>
  <w:num w:numId="11">
    <w:abstractNumId w:val="5"/>
  </w:num>
  <w:num w:numId="12">
    <w:abstractNumId w:val="23"/>
  </w:num>
  <w:num w:numId="13">
    <w:abstractNumId w:val="31"/>
  </w:num>
  <w:num w:numId="14">
    <w:abstractNumId w:val="55"/>
  </w:num>
  <w:num w:numId="15">
    <w:abstractNumId w:val="27"/>
  </w:num>
  <w:num w:numId="16">
    <w:abstractNumId w:val="53"/>
  </w:num>
  <w:num w:numId="17">
    <w:abstractNumId w:val="35"/>
  </w:num>
  <w:num w:numId="18">
    <w:abstractNumId w:val="24"/>
  </w:num>
  <w:num w:numId="19">
    <w:abstractNumId w:val="19"/>
  </w:num>
  <w:num w:numId="20">
    <w:abstractNumId w:val="12"/>
  </w:num>
  <w:num w:numId="21">
    <w:abstractNumId w:val="2"/>
  </w:num>
  <w:num w:numId="22">
    <w:abstractNumId w:val="15"/>
  </w:num>
  <w:num w:numId="23">
    <w:abstractNumId w:val="51"/>
  </w:num>
  <w:num w:numId="24">
    <w:abstractNumId w:val="14"/>
  </w:num>
  <w:num w:numId="25">
    <w:abstractNumId w:val="52"/>
  </w:num>
  <w:num w:numId="26">
    <w:abstractNumId w:val="43"/>
  </w:num>
  <w:num w:numId="27">
    <w:abstractNumId w:val="4"/>
  </w:num>
  <w:num w:numId="28">
    <w:abstractNumId w:val="28"/>
  </w:num>
  <w:num w:numId="29">
    <w:abstractNumId w:val="6"/>
  </w:num>
  <w:num w:numId="30">
    <w:abstractNumId w:val="7"/>
  </w:num>
  <w:num w:numId="31">
    <w:abstractNumId w:val="3"/>
  </w:num>
  <w:num w:numId="32">
    <w:abstractNumId w:val="18"/>
  </w:num>
  <w:num w:numId="33">
    <w:abstractNumId w:val="37"/>
  </w:num>
  <w:num w:numId="34">
    <w:abstractNumId w:val="20"/>
  </w:num>
  <w:num w:numId="35">
    <w:abstractNumId w:val="34"/>
  </w:num>
  <w:num w:numId="36">
    <w:abstractNumId w:val="32"/>
  </w:num>
  <w:num w:numId="37">
    <w:abstractNumId w:val="39"/>
  </w:num>
  <w:num w:numId="38">
    <w:abstractNumId w:val="48"/>
  </w:num>
  <w:num w:numId="39">
    <w:abstractNumId w:val="13"/>
  </w:num>
  <w:num w:numId="40">
    <w:abstractNumId w:val="30"/>
  </w:num>
  <w:num w:numId="41">
    <w:abstractNumId w:val="16"/>
  </w:num>
  <w:num w:numId="42">
    <w:abstractNumId w:val="45"/>
  </w:num>
  <w:num w:numId="43">
    <w:abstractNumId w:val="50"/>
  </w:num>
  <w:num w:numId="4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num>
  <w:num w:numId="46">
    <w:abstractNumId w:val="42"/>
  </w:num>
  <w:num w:numId="47">
    <w:abstractNumId w:val="1"/>
  </w:num>
  <w:num w:numId="48">
    <w:abstractNumId w:val="40"/>
  </w:num>
  <w:num w:numId="49">
    <w:abstractNumId w:val="47"/>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4"/>
  </w:num>
  <w:num w:numId="52">
    <w:abstractNumId w:val="17"/>
  </w:num>
  <w:num w:numId="53">
    <w:abstractNumId w:val="33"/>
  </w:num>
  <w:num w:numId="5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5"/>
  </w:num>
  <w:num w:numId="57">
    <w:abstractNumId w:val="49"/>
  </w:num>
  <w:num w:numId="58">
    <w:abstractNumId w:val="44"/>
  </w:num>
  <w:num w:numId="59">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defaultTabStop w:val="708"/>
  <w:characterSpacingControl w:val="doNotCompress"/>
  <w:hdrShapeDefaults>
    <o:shapedefaults v:ext="edit" spidmax="1433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164D"/>
    <w:rsid w:val="0001177C"/>
    <w:rsid w:val="00013246"/>
    <w:rsid w:val="00013C62"/>
    <w:rsid w:val="00013EE0"/>
    <w:rsid w:val="0001433E"/>
    <w:rsid w:val="00014B8D"/>
    <w:rsid w:val="00014BAC"/>
    <w:rsid w:val="00014DBD"/>
    <w:rsid w:val="0001538E"/>
    <w:rsid w:val="000154E5"/>
    <w:rsid w:val="000159B0"/>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3401"/>
    <w:rsid w:val="000A3F41"/>
    <w:rsid w:val="000A4179"/>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C1155"/>
    <w:rsid w:val="000C19C0"/>
    <w:rsid w:val="000C245B"/>
    <w:rsid w:val="000C36B5"/>
    <w:rsid w:val="000C3BCC"/>
    <w:rsid w:val="000C4252"/>
    <w:rsid w:val="000C4366"/>
    <w:rsid w:val="000C4FE5"/>
    <w:rsid w:val="000C51CE"/>
    <w:rsid w:val="000C5324"/>
    <w:rsid w:val="000C5792"/>
    <w:rsid w:val="000C58A0"/>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6E6"/>
    <w:rsid w:val="00117755"/>
    <w:rsid w:val="00117940"/>
    <w:rsid w:val="001208A0"/>
    <w:rsid w:val="00120B3A"/>
    <w:rsid w:val="00120C18"/>
    <w:rsid w:val="00121180"/>
    <w:rsid w:val="001211A4"/>
    <w:rsid w:val="001212BB"/>
    <w:rsid w:val="00121519"/>
    <w:rsid w:val="0012166C"/>
    <w:rsid w:val="0012222D"/>
    <w:rsid w:val="00122373"/>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D23"/>
    <w:rsid w:val="00346EA8"/>
    <w:rsid w:val="003477FE"/>
    <w:rsid w:val="00351AE9"/>
    <w:rsid w:val="00352173"/>
    <w:rsid w:val="00352C5F"/>
    <w:rsid w:val="003535F0"/>
    <w:rsid w:val="00353DFD"/>
    <w:rsid w:val="003544DE"/>
    <w:rsid w:val="0035451A"/>
    <w:rsid w:val="003546CE"/>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570A"/>
    <w:rsid w:val="00365CFB"/>
    <w:rsid w:val="00366062"/>
    <w:rsid w:val="00366736"/>
    <w:rsid w:val="00366BF8"/>
    <w:rsid w:val="0036705B"/>
    <w:rsid w:val="003676AF"/>
    <w:rsid w:val="00367733"/>
    <w:rsid w:val="00370021"/>
    <w:rsid w:val="0037017F"/>
    <w:rsid w:val="00370ADE"/>
    <w:rsid w:val="00370AF3"/>
    <w:rsid w:val="00370F21"/>
    <w:rsid w:val="00371AA4"/>
    <w:rsid w:val="003721EF"/>
    <w:rsid w:val="0037279A"/>
    <w:rsid w:val="00372BD0"/>
    <w:rsid w:val="00372E4A"/>
    <w:rsid w:val="00373034"/>
    <w:rsid w:val="003731CE"/>
    <w:rsid w:val="0037359E"/>
    <w:rsid w:val="00373B7D"/>
    <w:rsid w:val="0037421C"/>
    <w:rsid w:val="003745D5"/>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EEE"/>
    <w:rsid w:val="003A618D"/>
    <w:rsid w:val="003A635F"/>
    <w:rsid w:val="003A6D41"/>
    <w:rsid w:val="003A6D89"/>
    <w:rsid w:val="003B0001"/>
    <w:rsid w:val="003B01C1"/>
    <w:rsid w:val="003B08FC"/>
    <w:rsid w:val="003B0E2C"/>
    <w:rsid w:val="003B18EC"/>
    <w:rsid w:val="003B1BB7"/>
    <w:rsid w:val="003B1D44"/>
    <w:rsid w:val="003B2058"/>
    <w:rsid w:val="003B2E68"/>
    <w:rsid w:val="003B34C5"/>
    <w:rsid w:val="003B393E"/>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BF2"/>
    <w:rsid w:val="003D1CBA"/>
    <w:rsid w:val="003D1EED"/>
    <w:rsid w:val="003D25B8"/>
    <w:rsid w:val="003D2E7B"/>
    <w:rsid w:val="003D32E9"/>
    <w:rsid w:val="003D3815"/>
    <w:rsid w:val="003D3BF2"/>
    <w:rsid w:val="003D3E22"/>
    <w:rsid w:val="003D402E"/>
    <w:rsid w:val="003D45CD"/>
    <w:rsid w:val="003D486F"/>
    <w:rsid w:val="003D58DC"/>
    <w:rsid w:val="003D593B"/>
    <w:rsid w:val="003D6DB5"/>
    <w:rsid w:val="003D7406"/>
    <w:rsid w:val="003D741C"/>
    <w:rsid w:val="003E13D2"/>
    <w:rsid w:val="003E19DD"/>
    <w:rsid w:val="003E1F3D"/>
    <w:rsid w:val="003E2138"/>
    <w:rsid w:val="003E2964"/>
    <w:rsid w:val="003E30AD"/>
    <w:rsid w:val="003E33E2"/>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D31"/>
    <w:rsid w:val="004230FA"/>
    <w:rsid w:val="0042385B"/>
    <w:rsid w:val="00423D64"/>
    <w:rsid w:val="004245B6"/>
    <w:rsid w:val="0042479C"/>
    <w:rsid w:val="00424D78"/>
    <w:rsid w:val="004256E8"/>
    <w:rsid w:val="00425871"/>
    <w:rsid w:val="00425885"/>
    <w:rsid w:val="00426392"/>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5292"/>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205A"/>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A34"/>
    <w:rsid w:val="004F7D42"/>
    <w:rsid w:val="004F7FD6"/>
    <w:rsid w:val="0050127B"/>
    <w:rsid w:val="005015A6"/>
    <w:rsid w:val="00501A68"/>
    <w:rsid w:val="00502778"/>
    <w:rsid w:val="00502D1F"/>
    <w:rsid w:val="00502DA5"/>
    <w:rsid w:val="005034E2"/>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391"/>
    <w:rsid w:val="00546ED9"/>
    <w:rsid w:val="00547469"/>
    <w:rsid w:val="00550426"/>
    <w:rsid w:val="00550442"/>
    <w:rsid w:val="005504FA"/>
    <w:rsid w:val="00550555"/>
    <w:rsid w:val="00550772"/>
    <w:rsid w:val="0055109D"/>
    <w:rsid w:val="005510DF"/>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A8"/>
    <w:rsid w:val="00563400"/>
    <w:rsid w:val="00563604"/>
    <w:rsid w:val="00563AC5"/>
    <w:rsid w:val="00563F34"/>
    <w:rsid w:val="005646A9"/>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46D9"/>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31C"/>
    <w:rsid w:val="0059650D"/>
    <w:rsid w:val="00596A12"/>
    <w:rsid w:val="00597250"/>
    <w:rsid w:val="005973C0"/>
    <w:rsid w:val="005978FE"/>
    <w:rsid w:val="005A098B"/>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D0672"/>
    <w:rsid w:val="005D0C58"/>
    <w:rsid w:val="005D1071"/>
    <w:rsid w:val="005D1178"/>
    <w:rsid w:val="005D1A9E"/>
    <w:rsid w:val="005D2101"/>
    <w:rsid w:val="005D2E38"/>
    <w:rsid w:val="005D32A8"/>
    <w:rsid w:val="005D32D7"/>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6A2"/>
    <w:rsid w:val="005E2D6C"/>
    <w:rsid w:val="005E42C7"/>
    <w:rsid w:val="005E49AA"/>
    <w:rsid w:val="005E49F6"/>
    <w:rsid w:val="005E4C22"/>
    <w:rsid w:val="005E4C87"/>
    <w:rsid w:val="005E547E"/>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402"/>
    <w:rsid w:val="007615D5"/>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4BA"/>
    <w:rsid w:val="0077203B"/>
    <w:rsid w:val="0077289A"/>
    <w:rsid w:val="00772ED7"/>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1C0"/>
    <w:rsid w:val="0081361E"/>
    <w:rsid w:val="00813EF3"/>
    <w:rsid w:val="008141E1"/>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28"/>
    <w:rsid w:val="00847F8E"/>
    <w:rsid w:val="00850819"/>
    <w:rsid w:val="00851152"/>
    <w:rsid w:val="008512D3"/>
    <w:rsid w:val="00851E5D"/>
    <w:rsid w:val="0085237B"/>
    <w:rsid w:val="0085270A"/>
    <w:rsid w:val="008529AB"/>
    <w:rsid w:val="00852B2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900B4"/>
    <w:rsid w:val="0089022D"/>
    <w:rsid w:val="008902CA"/>
    <w:rsid w:val="008905C0"/>
    <w:rsid w:val="008908F3"/>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3001"/>
    <w:rsid w:val="008F3258"/>
    <w:rsid w:val="008F3B65"/>
    <w:rsid w:val="008F3EC0"/>
    <w:rsid w:val="008F43D1"/>
    <w:rsid w:val="008F4812"/>
    <w:rsid w:val="008F484F"/>
    <w:rsid w:val="008F4EC0"/>
    <w:rsid w:val="008F52C5"/>
    <w:rsid w:val="008F58CF"/>
    <w:rsid w:val="008F5918"/>
    <w:rsid w:val="008F6318"/>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271"/>
    <w:rsid w:val="00936B3B"/>
    <w:rsid w:val="00937D01"/>
    <w:rsid w:val="00940117"/>
    <w:rsid w:val="00940122"/>
    <w:rsid w:val="009407EC"/>
    <w:rsid w:val="00940BE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518A1"/>
    <w:rsid w:val="00951918"/>
    <w:rsid w:val="00951C23"/>
    <w:rsid w:val="0095274B"/>
    <w:rsid w:val="00952AB7"/>
    <w:rsid w:val="00952C95"/>
    <w:rsid w:val="00952D32"/>
    <w:rsid w:val="00952D33"/>
    <w:rsid w:val="00953E75"/>
    <w:rsid w:val="00954365"/>
    <w:rsid w:val="009549FF"/>
    <w:rsid w:val="0095538A"/>
    <w:rsid w:val="009555C5"/>
    <w:rsid w:val="00955A8D"/>
    <w:rsid w:val="00956740"/>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A31"/>
    <w:rsid w:val="00A13CBB"/>
    <w:rsid w:val="00A141D4"/>
    <w:rsid w:val="00A14825"/>
    <w:rsid w:val="00A14C9A"/>
    <w:rsid w:val="00A15170"/>
    <w:rsid w:val="00A15F0A"/>
    <w:rsid w:val="00A1646C"/>
    <w:rsid w:val="00A164E1"/>
    <w:rsid w:val="00A16F9F"/>
    <w:rsid w:val="00A17307"/>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63EC"/>
    <w:rsid w:val="00B46772"/>
    <w:rsid w:val="00B46CCF"/>
    <w:rsid w:val="00B46D44"/>
    <w:rsid w:val="00B46EB0"/>
    <w:rsid w:val="00B46EBE"/>
    <w:rsid w:val="00B47766"/>
    <w:rsid w:val="00B5019F"/>
    <w:rsid w:val="00B50CB6"/>
    <w:rsid w:val="00B51082"/>
    <w:rsid w:val="00B517E3"/>
    <w:rsid w:val="00B5196E"/>
    <w:rsid w:val="00B52001"/>
    <w:rsid w:val="00B5239D"/>
    <w:rsid w:val="00B52AE1"/>
    <w:rsid w:val="00B52F7C"/>
    <w:rsid w:val="00B532FB"/>
    <w:rsid w:val="00B53ECE"/>
    <w:rsid w:val="00B54833"/>
    <w:rsid w:val="00B549CE"/>
    <w:rsid w:val="00B54CA5"/>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A79"/>
    <w:rsid w:val="00C25BEA"/>
    <w:rsid w:val="00C25CEE"/>
    <w:rsid w:val="00C25D3F"/>
    <w:rsid w:val="00C263FE"/>
    <w:rsid w:val="00C26A7F"/>
    <w:rsid w:val="00C26D12"/>
    <w:rsid w:val="00C2770B"/>
    <w:rsid w:val="00C27E8F"/>
    <w:rsid w:val="00C3063E"/>
    <w:rsid w:val="00C3093A"/>
    <w:rsid w:val="00C30A93"/>
    <w:rsid w:val="00C30C95"/>
    <w:rsid w:val="00C30FE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5568"/>
    <w:rsid w:val="00C457FE"/>
    <w:rsid w:val="00C46C13"/>
    <w:rsid w:val="00C46D26"/>
    <w:rsid w:val="00C47699"/>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FC7"/>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6422"/>
    <w:rsid w:val="00CC6E5B"/>
    <w:rsid w:val="00CC6EA9"/>
    <w:rsid w:val="00CC7165"/>
    <w:rsid w:val="00CC72F2"/>
    <w:rsid w:val="00CC770C"/>
    <w:rsid w:val="00CD07EB"/>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79"/>
    <w:rsid w:val="00CE6CE9"/>
    <w:rsid w:val="00CE7271"/>
    <w:rsid w:val="00CF060F"/>
    <w:rsid w:val="00CF13AC"/>
    <w:rsid w:val="00CF175D"/>
    <w:rsid w:val="00CF2115"/>
    <w:rsid w:val="00CF29C4"/>
    <w:rsid w:val="00CF2F5F"/>
    <w:rsid w:val="00CF31D0"/>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FD5"/>
    <w:rsid w:val="00D42B55"/>
    <w:rsid w:val="00D42F82"/>
    <w:rsid w:val="00D431DF"/>
    <w:rsid w:val="00D432B2"/>
    <w:rsid w:val="00D434AA"/>
    <w:rsid w:val="00D4354C"/>
    <w:rsid w:val="00D437FE"/>
    <w:rsid w:val="00D443C4"/>
    <w:rsid w:val="00D4480B"/>
    <w:rsid w:val="00D44C9B"/>
    <w:rsid w:val="00D450A9"/>
    <w:rsid w:val="00D450B4"/>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BA4"/>
    <w:rsid w:val="00DE3D6E"/>
    <w:rsid w:val="00DE4235"/>
    <w:rsid w:val="00DE5297"/>
    <w:rsid w:val="00DE52BC"/>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8A4"/>
    <w:rsid w:val="00E11CC2"/>
    <w:rsid w:val="00E123FC"/>
    <w:rsid w:val="00E125C1"/>
    <w:rsid w:val="00E12790"/>
    <w:rsid w:val="00E13440"/>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B5E"/>
    <w:rsid w:val="00E26BD4"/>
    <w:rsid w:val="00E26D3A"/>
    <w:rsid w:val="00E26F9F"/>
    <w:rsid w:val="00E27104"/>
    <w:rsid w:val="00E2772B"/>
    <w:rsid w:val="00E27FB6"/>
    <w:rsid w:val="00E30993"/>
    <w:rsid w:val="00E30B84"/>
    <w:rsid w:val="00E3135E"/>
    <w:rsid w:val="00E313CB"/>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C91"/>
    <w:rsid w:val="00E43756"/>
    <w:rsid w:val="00E43BF3"/>
    <w:rsid w:val="00E43F40"/>
    <w:rsid w:val="00E44262"/>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7CD"/>
    <w:rsid w:val="00EA09F5"/>
    <w:rsid w:val="00EA105E"/>
    <w:rsid w:val="00EA1327"/>
    <w:rsid w:val="00EA1462"/>
    <w:rsid w:val="00EA1999"/>
    <w:rsid w:val="00EA1B0A"/>
    <w:rsid w:val="00EA394A"/>
    <w:rsid w:val="00EA56D3"/>
    <w:rsid w:val="00EA5895"/>
    <w:rsid w:val="00EA5D3A"/>
    <w:rsid w:val="00EA5E2E"/>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28"/>
    <w:rsid w:val="00EF7A48"/>
    <w:rsid w:val="00EF7D84"/>
    <w:rsid w:val="00F00BF2"/>
    <w:rsid w:val="00F013F0"/>
    <w:rsid w:val="00F01D05"/>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BE"/>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47C4AA-A14A-42E2-B3B9-29E43BF44AD5}">
  <ds:schemaRefs>
    <ds:schemaRef ds:uri="http://schemas.openxmlformats.org/officeDocument/2006/bibliography"/>
  </ds:schemaRefs>
</ds:datastoreItem>
</file>

<file path=customXml/itemProps2.xml><?xml version="1.0" encoding="utf-8"?>
<ds:datastoreItem xmlns:ds="http://schemas.openxmlformats.org/officeDocument/2006/customXml" ds:itemID="{1B291F36-9870-435B-A629-2F9461311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17750</Words>
  <Characters>101175</Characters>
  <Application>Microsoft Office Word</Application>
  <DocSecurity>0</DocSecurity>
  <Lines>843</Lines>
  <Paragraphs>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Пирогов Петр Сергеевич</cp:lastModifiedBy>
  <cp:revision>4</cp:revision>
  <cp:lastPrinted>2025-01-24T07:28:00Z</cp:lastPrinted>
  <dcterms:created xsi:type="dcterms:W3CDTF">2025-07-02T08:43:00Z</dcterms:created>
  <dcterms:modified xsi:type="dcterms:W3CDTF">2025-07-02T08:45:00Z</dcterms:modified>
</cp:coreProperties>
</file>